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840" w:lineRule="exact"/>
        <w:ind w:right="588" w:rightChars="214"/>
        <w:jc w:val="center"/>
        <w:rPr>
          <w:rFonts w:hint="eastAsia" w:ascii="华文宋体" w:hAnsi="华文宋体" w:eastAsia="华文宋体" w:cs="华文宋体"/>
          <w:b/>
          <w:color w:val="000000"/>
          <w:sz w:val="44"/>
          <w:szCs w:val="44"/>
        </w:rPr>
      </w:pPr>
      <w:r>
        <w:rPr>
          <w:rFonts w:hint="eastAsia" w:ascii="华文宋体" w:hAnsi="华文宋体" w:eastAsia="华文宋体" w:cs="华文宋体"/>
          <w:b/>
          <w:color w:val="000000"/>
          <w:sz w:val="44"/>
          <w:szCs w:val="44"/>
        </w:rPr>
        <w:t>人社局2018年部门预算</w:t>
      </w:r>
    </w:p>
    <w:p>
      <w:pPr>
        <w:snapToGrid w:val="0"/>
        <w:spacing w:line="840" w:lineRule="exact"/>
        <w:ind w:right="588" w:rightChars="214"/>
        <w:jc w:val="center"/>
        <w:rPr>
          <w:rFonts w:hint="eastAsia" w:ascii="华文宋体" w:hAnsi="华文宋体" w:eastAsia="华文宋体" w:cs="华文宋体"/>
          <w:b/>
          <w:color w:val="000000"/>
          <w:sz w:val="44"/>
          <w:szCs w:val="44"/>
        </w:rPr>
      </w:pPr>
      <w:r>
        <w:rPr>
          <w:rFonts w:hint="eastAsia" w:ascii="华文宋体" w:hAnsi="华文宋体" w:eastAsia="华文宋体" w:cs="华文宋体"/>
          <w:b/>
          <w:color w:val="000000"/>
          <w:sz w:val="44"/>
          <w:szCs w:val="44"/>
        </w:rPr>
        <w:t>编制说明</w:t>
      </w:r>
    </w:p>
    <w:p>
      <w:pPr>
        <w:snapToGrid w:val="0"/>
        <w:spacing w:line="480" w:lineRule="exact"/>
        <w:ind w:right="588" w:rightChars="214" w:firstLine="770" w:firstLineChars="200"/>
        <w:rPr>
          <w:rFonts w:asciiTheme="majorEastAsia" w:hAnsiTheme="majorEastAsia" w:eastAsiaTheme="majorEastAsia"/>
          <w:color w:val="000000"/>
          <w:sz w:val="32"/>
          <w:szCs w:val="32"/>
        </w:rPr>
      </w:pPr>
    </w:p>
    <w:p>
      <w:pPr>
        <w:snapToGrid w:val="0"/>
        <w:spacing w:line="480" w:lineRule="exact"/>
        <w:ind w:firstLine="770" w:firstLineChars="200"/>
        <w:rPr>
          <w:rFonts w:ascii="仿宋_GB2312" w:eastAsia="仿宋_GB2312"/>
          <w:color w:val="000000"/>
          <w:sz w:val="32"/>
          <w:szCs w:val="32"/>
        </w:rPr>
      </w:pPr>
      <w:r>
        <w:rPr>
          <w:rFonts w:hint="eastAsia" w:ascii="仿宋_GB2312" w:eastAsia="仿宋_GB2312"/>
          <w:color w:val="000000"/>
          <w:sz w:val="32"/>
          <w:szCs w:val="32"/>
        </w:rPr>
        <w:t>部门主要职责</w:t>
      </w:r>
    </w:p>
    <w:p>
      <w:pPr>
        <w:pStyle w:val="5"/>
        <w:shd w:val="clear" w:color="auto" w:fill="FFFFFF"/>
        <w:snapToGrid w:val="0"/>
        <w:spacing w:before="0" w:beforeAutospacing="0" w:after="0" w:afterAutospacing="0" w:line="480" w:lineRule="exact"/>
        <w:ind w:firstLine="770" w:firstLineChars="200"/>
        <w:rPr>
          <w:rFonts w:ascii="仿宋" w:hAnsi="仿宋" w:eastAsia="仿宋"/>
          <w:sz w:val="32"/>
          <w:szCs w:val="32"/>
        </w:rPr>
      </w:pPr>
      <w:r>
        <w:rPr>
          <w:rFonts w:hint="eastAsia" w:ascii="仿宋" w:hAnsi="仿宋" w:eastAsia="仿宋"/>
          <w:sz w:val="32"/>
          <w:szCs w:val="32"/>
        </w:rPr>
        <w:t>人社局是主管人力资源和社会保障工作的县政府组成部门，主要职责是：</w:t>
      </w:r>
    </w:p>
    <w:p>
      <w:pPr>
        <w:pStyle w:val="5"/>
        <w:shd w:val="clear" w:color="auto" w:fill="FFFFFF"/>
        <w:snapToGrid w:val="0"/>
        <w:spacing w:before="0" w:beforeAutospacing="0" w:after="0" w:afterAutospacing="0" w:line="480" w:lineRule="exact"/>
        <w:ind w:firstLine="770" w:firstLineChars="200"/>
        <w:rPr>
          <w:rFonts w:ascii="仿宋" w:hAnsi="仿宋" w:eastAsia="仿宋"/>
          <w:sz w:val="32"/>
          <w:szCs w:val="32"/>
        </w:rPr>
      </w:pPr>
      <w:r>
        <w:rPr>
          <w:rFonts w:hint="eastAsia" w:ascii="仿宋" w:hAnsi="仿宋" w:eastAsia="仿宋"/>
          <w:sz w:val="32"/>
          <w:szCs w:val="32"/>
        </w:rPr>
        <w:t>1、贯彻实施人力资源和社会保障的政策法规，拟订全县人力资源和社</w:t>
      </w:r>
      <w:bookmarkStart w:id="0" w:name="_GoBack"/>
      <w:bookmarkEnd w:id="0"/>
      <w:r>
        <w:rPr>
          <w:rFonts w:hint="eastAsia" w:ascii="仿宋" w:hAnsi="仿宋" w:eastAsia="仿宋"/>
          <w:sz w:val="32"/>
          <w:szCs w:val="32"/>
        </w:rPr>
        <w:t>会保障事业发展规划，并监督检查实施情况。 </w:t>
      </w:r>
    </w:p>
    <w:p>
      <w:pPr>
        <w:pStyle w:val="5"/>
        <w:shd w:val="clear" w:color="auto" w:fill="FFFFFF"/>
        <w:snapToGrid w:val="0"/>
        <w:spacing w:before="0" w:beforeAutospacing="0" w:after="0" w:afterAutospacing="0" w:line="480" w:lineRule="exact"/>
        <w:rPr>
          <w:rFonts w:ascii="仿宋" w:hAnsi="仿宋" w:eastAsia="仿宋"/>
          <w:sz w:val="32"/>
          <w:szCs w:val="32"/>
        </w:rPr>
      </w:pPr>
      <w:r>
        <w:rPr>
          <w:rFonts w:hint="eastAsia" w:ascii="仿宋" w:hAnsi="仿宋" w:eastAsia="仿宋"/>
          <w:sz w:val="32"/>
          <w:szCs w:val="32"/>
        </w:rPr>
        <w:t>　　2、拟定全县人力资源市场发展规划和人力资源流动办法，建立统一规范的人力资源市场，促进人力资源合理流动、有效配置。 </w:t>
      </w:r>
    </w:p>
    <w:p>
      <w:pPr>
        <w:pStyle w:val="5"/>
        <w:shd w:val="clear" w:color="auto" w:fill="FFFFFF"/>
        <w:snapToGrid w:val="0"/>
        <w:spacing w:before="0" w:beforeAutospacing="0" w:after="0" w:afterAutospacing="0" w:line="480" w:lineRule="exact"/>
        <w:rPr>
          <w:rFonts w:ascii="仿宋" w:hAnsi="仿宋" w:eastAsia="仿宋"/>
          <w:sz w:val="32"/>
          <w:szCs w:val="32"/>
        </w:rPr>
      </w:pPr>
      <w:r>
        <w:rPr>
          <w:rFonts w:hint="eastAsia" w:ascii="仿宋" w:hAnsi="仿宋" w:eastAsia="仿宋"/>
          <w:sz w:val="32"/>
          <w:szCs w:val="32"/>
        </w:rPr>
        <w:t>　　3、负责全县促进就业工作，拟订统筹城乡的全县就业发展规划，完善公共就业服务体系，组织落实就业援助制度，完善职业资格制度，统筹建立面向城乡劳动者的职业培训制度，落实高校毕业生就业政策，会同有关部门拟定高技能人才、农村实用人才培养和激励办法。 </w:t>
      </w:r>
    </w:p>
    <w:p>
      <w:pPr>
        <w:pStyle w:val="5"/>
        <w:shd w:val="clear" w:color="auto" w:fill="FFFFFF"/>
        <w:snapToGrid w:val="0"/>
        <w:spacing w:before="0" w:beforeAutospacing="0" w:after="0" w:afterAutospacing="0" w:line="480" w:lineRule="exact"/>
        <w:rPr>
          <w:rFonts w:ascii="仿宋" w:hAnsi="仿宋" w:eastAsia="仿宋"/>
          <w:sz w:val="32"/>
          <w:szCs w:val="32"/>
        </w:rPr>
      </w:pPr>
      <w:r>
        <w:rPr>
          <w:rFonts w:hint="eastAsia" w:ascii="仿宋" w:hAnsi="仿宋" w:eastAsia="仿宋"/>
          <w:sz w:val="32"/>
          <w:szCs w:val="32"/>
        </w:rPr>
        <w:t>　　4、统筹建立覆盖全县城乡的社会保障体系，贯彻实施社会保障相关政策措施。贯彻实施中央、省、市社会保险及其补充保险基金管理和监督制度。 </w:t>
      </w:r>
    </w:p>
    <w:p>
      <w:pPr>
        <w:pStyle w:val="5"/>
        <w:shd w:val="clear" w:color="auto" w:fill="FFFFFF"/>
        <w:snapToGrid w:val="0"/>
        <w:spacing w:before="0" w:beforeAutospacing="0" w:after="0" w:afterAutospacing="0" w:line="480" w:lineRule="exact"/>
        <w:rPr>
          <w:rFonts w:ascii="仿宋" w:hAnsi="仿宋" w:eastAsia="仿宋"/>
          <w:sz w:val="32"/>
          <w:szCs w:val="32"/>
        </w:rPr>
      </w:pPr>
      <w:r>
        <w:rPr>
          <w:rFonts w:hint="eastAsia" w:ascii="仿宋" w:hAnsi="仿宋" w:eastAsia="仿宋"/>
          <w:sz w:val="32"/>
          <w:szCs w:val="32"/>
        </w:rPr>
        <w:t>　　5、负责全县就业、失业、社会保险基金预测预警和信息引导，拟定应对预案，实施预防、调节和控制，保持全县就业形势稳定和社会保险基金总体收支平衡。 </w:t>
      </w:r>
    </w:p>
    <w:p>
      <w:pPr>
        <w:pStyle w:val="5"/>
        <w:shd w:val="clear" w:color="auto" w:fill="FFFFFF"/>
        <w:snapToGrid w:val="0"/>
        <w:spacing w:before="0" w:beforeAutospacing="0" w:after="0" w:afterAutospacing="0" w:line="480" w:lineRule="exact"/>
        <w:rPr>
          <w:rFonts w:ascii="仿宋" w:hAnsi="仿宋" w:eastAsia="仿宋"/>
          <w:sz w:val="32"/>
          <w:szCs w:val="32"/>
        </w:rPr>
      </w:pPr>
      <w:r>
        <w:rPr>
          <w:rFonts w:hint="eastAsia" w:ascii="仿宋" w:hAnsi="仿宋" w:eastAsia="仿宋"/>
          <w:sz w:val="32"/>
          <w:szCs w:val="32"/>
        </w:rPr>
        <w:t>　　6、负责全县机关事业单位人事管理；会同有关部门拟订全县机关、事业单位人员工资收入分配制度改革实施意见，建立全县机关企事业单位人员工资正常增长和支付保障机制，贯彻执行机关企事业单位人员福利和离退休政策。 </w:t>
      </w:r>
    </w:p>
    <w:p>
      <w:pPr>
        <w:pStyle w:val="5"/>
        <w:shd w:val="clear" w:color="auto" w:fill="FFFFFF"/>
        <w:snapToGrid w:val="0"/>
        <w:spacing w:before="0" w:beforeAutospacing="0" w:after="0" w:afterAutospacing="0" w:line="480" w:lineRule="exact"/>
        <w:rPr>
          <w:rFonts w:ascii="仿宋" w:hAnsi="仿宋" w:eastAsia="仿宋"/>
          <w:sz w:val="32"/>
          <w:szCs w:val="32"/>
        </w:rPr>
      </w:pPr>
      <w:r>
        <w:rPr>
          <w:rFonts w:hint="eastAsia" w:ascii="仿宋" w:hAnsi="仿宋" w:eastAsia="仿宋"/>
          <w:sz w:val="32"/>
          <w:szCs w:val="32"/>
        </w:rPr>
        <w:t>　　7、会同有关部门指导全县事业单位人事制度改革，拟订事业单位人员和机关工勤人员管理办法，参与人才管理工作。制定专业技术人员管理和继续教育方法，牵头推进深化职称制度改革工作，建立健全博士后管理制度，负责高层次专业技术人才选拔和培养工作，拟订贯彻国家、省、市关于吸引留学人员回国工作或定居政策的实施办法。 </w:t>
      </w:r>
    </w:p>
    <w:p>
      <w:pPr>
        <w:pStyle w:val="5"/>
        <w:shd w:val="clear" w:color="auto" w:fill="FFFFFF"/>
        <w:snapToGrid w:val="0"/>
        <w:spacing w:before="0" w:beforeAutospacing="0" w:after="0" w:afterAutospacing="0" w:line="480" w:lineRule="exact"/>
        <w:rPr>
          <w:rFonts w:ascii="仿宋" w:hAnsi="仿宋" w:eastAsia="仿宋"/>
          <w:sz w:val="32"/>
          <w:szCs w:val="32"/>
        </w:rPr>
      </w:pPr>
      <w:r>
        <w:rPr>
          <w:rFonts w:hint="eastAsia" w:ascii="仿宋" w:hAnsi="仿宋" w:eastAsia="仿宋"/>
          <w:sz w:val="32"/>
          <w:szCs w:val="32"/>
        </w:rPr>
        <w:t>　　8、落实军队转业干部安置政策，会同有关部门拟定安置计划，负责军队转业干部教育培训工作，落实国家、省、市关于企业军队转业干部解困和稳定政策，负责自主择业军队转业干部管理服务工作。 </w:t>
      </w:r>
    </w:p>
    <w:p>
      <w:pPr>
        <w:pStyle w:val="5"/>
        <w:shd w:val="clear" w:color="auto" w:fill="FFFFFF"/>
        <w:snapToGrid w:val="0"/>
        <w:spacing w:before="0" w:beforeAutospacing="0" w:after="0" w:afterAutospacing="0" w:line="480" w:lineRule="exact"/>
        <w:rPr>
          <w:rFonts w:ascii="仿宋" w:hAnsi="仿宋" w:eastAsia="仿宋"/>
          <w:sz w:val="32"/>
          <w:szCs w:val="32"/>
        </w:rPr>
      </w:pPr>
      <w:r>
        <w:rPr>
          <w:rFonts w:hint="eastAsia" w:ascii="仿宋" w:hAnsi="仿宋" w:eastAsia="仿宋"/>
          <w:sz w:val="32"/>
          <w:szCs w:val="32"/>
        </w:rPr>
        <w:t>　　9、负责全县行政机关公务员综合管理，拟订有关人员调配方法和特殊人员安置办法，会同有关部门拟订我县荣誉制度和政府奖励制度。 </w:t>
      </w:r>
    </w:p>
    <w:p>
      <w:pPr>
        <w:pStyle w:val="5"/>
        <w:shd w:val="clear" w:color="auto" w:fill="FFFFFF"/>
        <w:snapToGrid w:val="0"/>
        <w:spacing w:before="0" w:beforeAutospacing="0" w:after="0" w:afterAutospacing="0" w:line="480" w:lineRule="exact"/>
        <w:rPr>
          <w:rFonts w:ascii="仿宋" w:hAnsi="仿宋" w:eastAsia="仿宋"/>
          <w:sz w:val="32"/>
          <w:szCs w:val="32"/>
        </w:rPr>
      </w:pPr>
      <w:r>
        <w:rPr>
          <w:rFonts w:hint="eastAsia" w:ascii="仿宋" w:hAnsi="仿宋" w:eastAsia="仿宋"/>
          <w:sz w:val="32"/>
          <w:szCs w:val="32"/>
        </w:rPr>
        <w:t>　　10、负责外国专家综合管理和引进国外智力工作，拟订引进国外智力规划，拟订引进国外智力管理办法，并监督实施。 </w:t>
      </w:r>
    </w:p>
    <w:p>
      <w:pPr>
        <w:pStyle w:val="5"/>
        <w:shd w:val="clear" w:color="auto" w:fill="FFFFFF"/>
        <w:snapToGrid w:val="0"/>
        <w:spacing w:before="0" w:beforeAutospacing="0" w:after="0" w:afterAutospacing="0" w:line="480" w:lineRule="exact"/>
        <w:rPr>
          <w:rFonts w:ascii="仿宋" w:hAnsi="仿宋" w:eastAsia="仿宋"/>
          <w:sz w:val="32"/>
          <w:szCs w:val="32"/>
        </w:rPr>
      </w:pPr>
      <w:r>
        <w:rPr>
          <w:rFonts w:hint="eastAsia" w:ascii="仿宋" w:hAnsi="仿宋" w:eastAsia="仿宋"/>
          <w:sz w:val="32"/>
          <w:szCs w:val="32"/>
        </w:rPr>
        <w:t>　　11、会同有关部门拟订全县农民工工作规划，推动农民工相关政策的落实，协调解决重点难点问题，维护农民工合法权益。 </w:t>
      </w:r>
    </w:p>
    <w:p>
      <w:pPr>
        <w:pStyle w:val="5"/>
        <w:shd w:val="clear" w:color="auto" w:fill="FFFFFF"/>
        <w:snapToGrid w:val="0"/>
        <w:spacing w:before="0" w:beforeAutospacing="0" w:after="0" w:afterAutospacing="0" w:line="480" w:lineRule="exact"/>
        <w:rPr>
          <w:rFonts w:ascii="仿宋" w:hAnsi="仿宋" w:eastAsia="仿宋"/>
          <w:sz w:val="32"/>
          <w:szCs w:val="32"/>
        </w:rPr>
      </w:pPr>
      <w:r>
        <w:rPr>
          <w:rFonts w:hint="eastAsia" w:ascii="仿宋" w:hAnsi="仿宋" w:eastAsia="仿宋"/>
          <w:sz w:val="32"/>
          <w:szCs w:val="32"/>
        </w:rPr>
        <w:t>　　12、统筹落实全县劳动人事争议调解仲裁制度和劳动关系政策，完善劳动关系协调机制，拟订打击非法使用童工办法和女工、未成年工的特殊劳动保护办法，组织实施劳动监察，协调劳动者维权工作，依法查处重大案件。 </w:t>
      </w:r>
    </w:p>
    <w:p>
      <w:pPr>
        <w:pStyle w:val="5"/>
        <w:shd w:val="clear" w:color="auto" w:fill="FFFFFF"/>
        <w:snapToGrid w:val="0"/>
        <w:spacing w:before="0" w:beforeAutospacing="0" w:after="0" w:afterAutospacing="0" w:line="480" w:lineRule="exact"/>
        <w:rPr>
          <w:rFonts w:ascii="仿宋" w:hAnsi="仿宋" w:eastAsia="仿宋"/>
          <w:sz w:val="32"/>
          <w:szCs w:val="32"/>
        </w:rPr>
      </w:pPr>
      <w:r>
        <w:rPr>
          <w:rFonts w:hint="eastAsia" w:ascii="仿宋" w:hAnsi="仿宋" w:eastAsia="仿宋"/>
          <w:color w:val="333333"/>
          <w:sz w:val="32"/>
          <w:szCs w:val="32"/>
        </w:rPr>
        <w:t>　　本次预算公开</w:t>
      </w:r>
      <w:r>
        <w:rPr>
          <w:rFonts w:hint="eastAsia" w:ascii="仿宋" w:hAnsi="仿宋" w:eastAsia="仿宋"/>
          <w:sz w:val="32"/>
          <w:szCs w:val="32"/>
        </w:rPr>
        <w:t>包含5个单位，分别是：人社局机关、社会保险事业管理局、医疗保险事业管理局、公共就业人才服务管理局、农村社会养老保险管理局。</w:t>
      </w:r>
    </w:p>
    <w:p>
      <w:pPr>
        <w:pStyle w:val="5"/>
        <w:shd w:val="clear" w:color="auto" w:fill="FFFFFF"/>
        <w:snapToGrid w:val="0"/>
        <w:spacing w:before="0" w:beforeAutospacing="0" w:after="0" w:afterAutospacing="0" w:line="480" w:lineRule="exact"/>
        <w:ind w:firstLine="770" w:firstLineChars="200"/>
        <w:rPr>
          <w:rFonts w:ascii="黑体" w:hAnsi="黑体" w:eastAsia="黑体"/>
          <w:color w:val="333333"/>
          <w:sz w:val="32"/>
          <w:szCs w:val="32"/>
        </w:rPr>
      </w:pPr>
      <w:r>
        <w:rPr>
          <w:rFonts w:hint="eastAsia" w:ascii="黑体" w:hAnsi="黑体" w:eastAsia="黑体"/>
          <w:color w:val="333333"/>
          <w:sz w:val="32"/>
          <w:szCs w:val="32"/>
        </w:rPr>
        <w:t>部门2018年主要工作任务</w:t>
      </w:r>
    </w:p>
    <w:p>
      <w:pPr>
        <w:pStyle w:val="5"/>
        <w:shd w:val="clear" w:color="auto" w:fill="FFFFFF"/>
        <w:snapToGrid w:val="0"/>
        <w:spacing w:before="0" w:beforeAutospacing="0" w:after="0" w:afterAutospacing="0" w:line="480" w:lineRule="exact"/>
        <w:ind w:firstLine="770" w:firstLineChars="200"/>
        <w:rPr>
          <w:rFonts w:ascii="仿宋" w:hAnsi="仿宋" w:eastAsia="仿宋"/>
          <w:sz w:val="32"/>
          <w:szCs w:val="32"/>
        </w:rPr>
      </w:pPr>
      <w:r>
        <w:rPr>
          <w:rFonts w:hint="eastAsia" w:ascii="仿宋" w:hAnsi="仿宋" w:eastAsia="仿宋"/>
          <w:sz w:val="32"/>
          <w:szCs w:val="32"/>
        </w:rPr>
        <w:t>人社局2018年主要工作任务是：</w:t>
      </w:r>
    </w:p>
    <w:p>
      <w:pPr>
        <w:pStyle w:val="5"/>
        <w:shd w:val="clear" w:color="auto" w:fill="FFFFFF"/>
        <w:snapToGrid w:val="0"/>
        <w:spacing w:before="0" w:beforeAutospacing="0" w:after="0" w:afterAutospacing="0" w:line="480" w:lineRule="exact"/>
        <w:ind w:firstLine="770" w:firstLineChars="200"/>
        <w:rPr>
          <w:rFonts w:ascii="仿宋" w:hAnsi="仿宋" w:eastAsia="仿宋"/>
          <w:sz w:val="32"/>
          <w:szCs w:val="32"/>
        </w:rPr>
      </w:pPr>
      <w:r>
        <w:rPr>
          <w:rFonts w:hint="eastAsia" w:ascii="仿宋" w:hAnsi="仿宋" w:eastAsia="仿宋"/>
          <w:sz w:val="32"/>
          <w:szCs w:val="32"/>
        </w:rPr>
        <w:t>1、不断加强人才队伍建设。</w:t>
      </w:r>
    </w:p>
    <w:p>
      <w:pPr>
        <w:pStyle w:val="5"/>
        <w:shd w:val="clear" w:color="auto" w:fill="FFFFFF"/>
        <w:snapToGrid w:val="0"/>
        <w:spacing w:before="0" w:beforeAutospacing="0" w:after="0" w:afterAutospacing="0" w:line="480" w:lineRule="exact"/>
        <w:ind w:firstLine="770" w:firstLineChars="200"/>
        <w:rPr>
          <w:rFonts w:ascii="仿宋" w:hAnsi="仿宋" w:eastAsia="仿宋"/>
          <w:sz w:val="32"/>
          <w:szCs w:val="32"/>
        </w:rPr>
      </w:pPr>
      <w:r>
        <w:rPr>
          <w:rFonts w:hint="eastAsia" w:ascii="仿宋" w:hAnsi="仿宋" w:eastAsia="仿宋"/>
          <w:sz w:val="32"/>
          <w:szCs w:val="32"/>
        </w:rPr>
        <w:t>2、大力推进基层就业、社会保障服务和创新创业平台建设。</w:t>
      </w:r>
    </w:p>
    <w:p>
      <w:pPr>
        <w:pStyle w:val="5"/>
        <w:shd w:val="clear" w:color="auto" w:fill="FFFFFF"/>
        <w:snapToGrid w:val="0"/>
        <w:spacing w:before="0" w:beforeAutospacing="0" w:after="0" w:afterAutospacing="0" w:line="480" w:lineRule="exact"/>
        <w:ind w:firstLine="770" w:firstLineChars="200"/>
        <w:rPr>
          <w:rFonts w:ascii="仿宋" w:hAnsi="仿宋" w:eastAsia="仿宋"/>
          <w:sz w:val="32"/>
          <w:szCs w:val="32"/>
        </w:rPr>
      </w:pPr>
      <w:r>
        <w:rPr>
          <w:rFonts w:hint="eastAsia" w:ascii="仿宋" w:hAnsi="仿宋" w:eastAsia="仿宋"/>
          <w:sz w:val="32"/>
          <w:szCs w:val="32"/>
        </w:rPr>
        <w:t>3、扎实做好社会保险各项工作开展。</w:t>
      </w:r>
    </w:p>
    <w:p>
      <w:pPr>
        <w:pStyle w:val="5"/>
        <w:shd w:val="clear" w:color="auto" w:fill="FFFFFF"/>
        <w:snapToGrid w:val="0"/>
        <w:spacing w:before="0" w:beforeAutospacing="0" w:after="0" w:afterAutospacing="0" w:line="480" w:lineRule="exact"/>
        <w:ind w:firstLine="770" w:firstLineChars="200"/>
        <w:rPr>
          <w:rFonts w:ascii="仿宋" w:hAnsi="仿宋" w:eastAsia="仿宋"/>
          <w:sz w:val="32"/>
          <w:szCs w:val="32"/>
        </w:rPr>
      </w:pPr>
      <w:r>
        <w:rPr>
          <w:rFonts w:hint="eastAsia" w:ascii="仿宋" w:hAnsi="仿宋" w:eastAsia="仿宋"/>
          <w:sz w:val="32"/>
          <w:szCs w:val="32"/>
        </w:rPr>
        <w:t>4、精准发力落实扶贫攻坚政策。</w:t>
      </w:r>
    </w:p>
    <w:p>
      <w:pPr>
        <w:pStyle w:val="5"/>
        <w:shd w:val="clear" w:color="auto" w:fill="FFFFFF"/>
        <w:snapToGrid w:val="0"/>
        <w:spacing w:before="0" w:beforeAutospacing="0" w:after="0" w:afterAutospacing="0" w:line="480" w:lineRule="exact"/>
        <w:ind w:firstLine="770" w:firstLineChars="200"/>
        <w:rPr>
          <w:rFonts w:ascii="仿宋" w:hAnsi="仿宋" w:eastAsia="仿宋"/>
          <w:sz w:val="32"/>
          <w:szCs w:val="32"/>
        </w:rPr>
      </w:pPr>
      <w:r>
        <w:rPr>
          <w:rFonts w:hint="eastAsia" w:ascii="仿宋" w:hAnsi="仿宋" w:eastAsia="仿宋"/>
          <w:sz w:val="32"/>
          <w:szCs w:val="32"/>
        </w:rPr>
        <w:t>5、着力推进人社信息化系统一体化建设。</w:t>
      </w:r>
    </w:p>
    <w:p>
      <w:pPr>
        <w:pStyle w:val="5"/>
        <w:shd w:val="clear" w:color="auto" w:fill="FFFFFF"/>
        <w:snapToGrid w:val="0"/>
        <w:spacing w:before="0" w:beforeAutospacing="0" w:after="0" w:afterAutospacing="0" w:line="480" w:lineRule="exact"/>
        <w:ind w:firstLine="770" w:firstLineChars="200"/>
        <w:rPr>
          <w:rFonts w:ascii="仿宋" w:hAnsi="仿宋" w:eastAsia="仿宋"/>
          <w:sz w:val="32"/>
          <w:szCs w:val="32"/>
        </w:rPr>
      </w:pPr>
      <w:r>
        <w:rPr>
          <w:rFonts w:hint="eastAsia" w:ascii="仿宋" w:hAnsi="仿宋" w:eastAsia="仿宋"/>
          <w:sz w:val="32"/>
          <w:szCs w:val="32"/>
        </w:rPr>
        <w:t>6、全面保障劳动者合法权益。</w:t>
      </w:r>
    </w:p>
    <w:p>
      <w:pPr>
        <w:pStyle w:val="5"/>
        <w:shd w:val="clear" w:color="auto" w:fill="FFFFFF"/>
        <w:snapToGrid w:val="0"/>
        <w:spacing w:before="0" w:beforeAutospacing="0" w:after="0" w:afterAutospacing="0" w:line="480" w:lineRule="exact"/>
        <w:ind w:firstLine="770" w:firstLineChars="200"/>
        <w:rPr>
          <w:rFonts w:ascii="黑体" w:hAnsi="黑体" w:eastAsia="黑体"/>
          <w:color w:val="333333"/>
          <w:sz w:val="32"/>
          <w:szCs w:val="32"/>
        </w:rPr>
      </w:pPr>
      <w:r>
        <w:rPr>
          <w:rFonts w:hint="eastAsia" w:ascii="黑体" w:hAnsi="黑体" w:eastAsia="黑体"/>
          <w:color w:val="333333"/>
          <w:sz w:val="32"/>
          <w:szCs w:val="32"/>
        </w:rPr>
        <w:t>部门基本情况</w:t>
      </w:r>
    </w:p>
    <w:p>
      <w:pPr>
        <w:pStyle w:val="5"/>
        <w:shd w:val="clear" w:color="auto" w:fill="FFFFFF"/>
        <w:snapToGrid w:val="0"/>
        <w:spacing w:before="0" w:beforeAutospacing="0" w:after="0" w:afterAutospacing="0" w:line="480" w:lineRule="exact"/>
        <w:ind w:firstLine="770" w:firstLineChars="200"/>
        <w:rPr>
          <w:rFonts w:ascii="仿宋" w:hAnsi="仿宋" w:eastAsia="仿宋"/>
          <w:sz w:val="32"/>
          <w:szCs w:val="32"/>
        </w:rPr>
      </w:pPr>
      <w:r>
        <w:rPr>
          <w:rFonts w:hint="eastAsia" w:ascii="仿宋" w:hAnsi="仿宋" w:eastAsia="仿宋"/>
          <w:sz w:val="32"/>
          <w:szCs w:val="32"/>
        </w:rPr>
        <w:t>人社局编制数120人，其中：行政编制19人、参公编制0人、全额事业编制101人、差额事业编制0人、自收自支事业编制0人；实有人数120人，其中：在职人数120人，包括行政人员19人、参公人员0人、全额事业101人、差额事业0人、自收自支事业0人；离休人员0人；退休人员22人。</w:t>
      </w:r>
    </w:p>
    <w:p>
      <w:pPr>
        <w:pStyle w:val="5"/>
        <w:shd w:val="clear" w:color="auto" w:fill="FFFFFF"/>
        <w:snapToGrid w:val="0"/>
        <w:spacing w:before="0" w:beforeAutospacing="0" w:after="0" w:afterAutospacing="0" w:line="480" w:lineRule="exact"/>
        <w:ind w:firstLine="770" w:firstLineChars="200"/>
        <w:rPr>
          <w:rFonts w:ascii="仿宋" w:hAnsi="仿宋" w:eastAsia="仿宋"/>
          <w:sz w:val="32"/>
          <w:szCs w:val="32"/>
        </w:rPr>
      </w:pPr>
      <w:r>
        <w:rPr>
          <w:rFonts w:hint="eastAsia" w:ascii="仿宋" w:hAnsi="仿宋" w:eastAsia="仿宋"/>
          <w:sz w:val="32"/>
          <w:szCs w:val="32"/>
        </w:rPr>
        <w:t>部门预算收支情况说明</w:t>
      </w:r>
    </w:p>
    <w:p>
      <w:pPr>
        <w:pStyle w:val="5"/>
        <w:shd w:val="clear" w:color="auto" w:fill="FFFFFF"/>
        <w:snapToGrid w:val="0"/>
        <w:spacing w:before="0" w:beforeAutospacing="0" w:after="0" w:afterAutospacing="0" w:line="480" w:lineRule="exact"/>
        <w:ind w:firstLine="770" w:firstLineChars="200"/>
        <w:rPr>
          <w:rFonts w:ascii="楷体" w:hAnsi="楷体" w:eastAsia="楷体"/>
          <w:b/>
          <w:color w:val="333333"/>
          <w:sz w:val="32"/>
          <w:szCs w:val="32"/>
        </w:rPr>
      </w:pPr>
      <w:r>
        <w:rPr>
          <w:rFonts w:hint="eastAsia" w:ascii="楷体" w:hAnsi="楷体" w:eastAsia="楷体"/>
          <w:b/>
          <w:color w:val="333333"/>
          <w:sz w:val="32"/>
          <w:szCs w:val="32"/>
        </w:rPr>
        <w:t>（一）收入预算情况</w:t>
      </w:r>
    </w:p>
    <w:p>
      <w:pPr>
        <w:pStyle w:val="5"/>
        <w:shd w:val="clear" w:color="auto" w:fill="FFFFFF"/>
        <w:snapToGrid w:val="0"/>
        <w:spacing w:before="0" w:beforeAutospacing="0" w:after="0" w:afterAutospacing="0" w:line="480" w:lineRule="exact"/>
        <w:ind w:firstLine="770" w:firstLineChars="200"/>
        <w:rPr>
          <w:rFonts w:ascii="仿宋" w:hAnsi="仿宋" w:eastAsia="仿宋"/>
          <w:sz w:val="32"/>
          <w:szCs w:val="32"/>
        </w:rPr>
      </w:pPr>
      <w:r>
        <w:rPr>
          <w:rFonts w:hint="eastAsia" w:ascii="仿宋" w:hAnsi="仿宋" w:eastAsia="仿宋"/>
          <w:sz w:val="32"/>
          <w:szCs w:val="32"/>
        </w:rPr>
        <w:t>2018年人社局收入预算总额为10249.14万元，其中：财政拨款收入6333.11万元，占收入预算总额的61.79%，包括财政拨款（补助）收入6333.11万元、纳入预算管理的非税收入0万元；事业收入0万元，占收入预算总额的0%；事业单位经营收入3477.01万元，占收入预算总额的33.92%；上级补助收入201.72万元，占收入预算总额1.97%；上年结余237.3万元，占收入预算总额2.32%。</w:t>
      </w:r>
    </w:p>
    <w:p>
      <w:pPr>
        <w:pStyle w:val="5"/>
        <w:shd w:val="clear" w:color="auto" w:fill="FFFFFF"/>
        <w:snapToGrid w:val="0"/>
        <w:spacing w:before="0" w:beforeAutospacing="0" w:after="0" w:afterAutospacing="0" w:line="480" w:lineRule="exact"/>
        <w:ind w:firstLine="770" w:firstLineChars="200"/>
        <w:rPr>
          <w:rFonts w:ascii="楷体" w:hAnsi="楷体" w:eastAsia="楷体"/>
          <w:b/>
          <w:color w:val="333333"/>
          <w:sz w:val="32"/>
          <w:szCs w:val="32"/>
        </w:rPr>
      </w:pPr>
      <w:r>
        <w:rPr>
          <w:rFonts w:hint="eastAsia" w:ascii="楷体" w:hAnsi="楷体" w:eastAsia="楷体"/>
          <w:b/>
          <w:color w:val="333333"/>
          <w:sz w:val="32"/>
          <w:szCs w:val="32"/>
        </w:rPr>
        <w:t>（二）支出预算情况</w:t>
      </w:r>
    </w:p>
    <w:p>
      <w:pPr>
        <w:pStyle w:val="5"/>
        <w:shd w:val="clear" w:color="auto" w:fill="FFFFFF"/>
        <w:snapToGrid w:val="0"/>
        <w:spacing w:before="0" w:beforeAutospacing="0" w:after="0" w:afterAutospacing="0" w:line="480" w:lineRule="exact"/>
        <w:ind w:firstLine="770" w:firstLineChars="200"/>
        <w:rPr>
          <w:rFonts w:ascii="仿宋" w:hAnsi="仿宋" w:eastAsia="仿宋"/>
          <w:sz w:val="32"/>
          <w:szCs w:val="32"/>
        </w:rPr>
      </w:pPr>
      <w:r>
        <w:rPr>
          <w:rFonts w:hint="eastAsia" w:ascii="仿宋" w:hAnsi="仿宋" w:eastAsia="仿宋"/>
          <w:sz w:val="32"/>
          <w:szCs w:val="32"/>
        </w:rPr>
        <w:t>2018年人社局支出预算总额为10249.14万元，其中：</w:t>
      </w:r>
    </w:p>
    <w:p>
      <w:pPr>
        <w:pStyle w:val="5"/>
        <w:shd w:val="clear" w:color="auto" w:fill="FFFFFF"/>
        <w:snapToGrid w:val="0"/>
        <w:spacing w:before="0" w:beforeAutospacing="0" w:after="0" w:afterAutospacing="0" w:line="480" w:lineRule="exact"/>
        <w:ind w:firstLine="770" w:firstLineChars="200"/>
        <w:rPr>
          <w:rFonts w:ascii="仿宋" w:hAnsi="仿宋" w:eastAsia="仿宋"/>
          <w:sz w:val="32"/>
          <w:szCs w:val="32"/>
        </w:rPr>
      </w:pPr>
      <w:r>
        <w:rPr>
          <w:rFonts w:hint="eastAsia" w:ascii="仿宋" w:hAnsi="仿宋" w:eastAsia="仿宋"/>
          <w:sz w:val="32"/>
          <w:szCs w:val="32"/>
        </w:rPr>
        <w:t>按支出项目类别划分：基本支出2147.68万元，占支出预算总额的20.95%，包括工资福利支出1134.83万元、商品和服务支出576.48万元、对个人和家庭的补助支出361.49万元；项目支出8101.46万元，占支出预算总额的79.05%，包括对个人和家庭的补助支出7466.28万元基本建设项目支出200万元、行政事业性项目支出0万元；其他项目支出435.19万元。</w:t>
      </w:r>
    </w:p>
    <w:p>
      <w:pPr>
        <w:pStyle w:val="5"/>
        <w:shd w:val="clear" w:color="auto" w:fill="FFFFFF"/>
        <w:snapToGrid w:val="0"/>
        <w:spacing w:before="0" w:beforeAutospacing="0" w:after="0" w:afterAutospacing="0" w:line="480" w:lineRule="exact"/>
        <w:ind w:firstLine="770" w:firstLineChars="200"/>
        <w:rPr>
          <w:rFonts w:ascii="仿宋" w:hAnsi="仿宋" w:eastAsia="仿宋"/>
          <w:sz w:val="32"/>
          <w:szCs w:val="32"/>
        </w:rPr>
      </w:pPr>
      <w:r>
        <w:rPr>
          <w:rFonts w:hint="eastAsia" w:ascii="仿宋" w:hAnsi="仿宋" w:eastAsia="仿宋"/>
          <w:sz w:val="32"/>
          <w:szCs w:val="32"/>
        </w:rPr>
        <w:t>按支出功能科目划分：一般公共服务支出775.04万元，占支出预算总额的7.56%；社会保障和就业支出2876.59万元，占支出预算总额的28.07%；医疗卫生支出4377.45万元，占支出预算总额的42.71%；社会保险基金支出43.2万元，占支出预算总额的0.42%；农林水支出2100万元，占支出预算总额的20.49%；住房保障支出76.86万元，占支出预算总额的0.75%。</w:t>
      </w:r>
    </w:p>
    <w:p>
      <w:pPr>
        <w:pStyle w:val="5"/>
        <w:shd w:val="clear" w:color="auto" w:fill="FFFFFF"/>
        <w:snapToGrid w:val="0"/>
        <w:spacing w:before="0" w:beforeAutospacing="0" w:after="0" w:afterAutospacing="0" w:line="480" w:lineRule="exact"/>
        <w:ind w:firstLine="770" w:firstLineChars="200"/>
        <w:rPr>
          <w:rFonts w:ascii="楷体" w:hAnsi="楷体" w:eastAsia="楷体"/>
          <w:b/>
          <w:color w:val="333333"/>
          <w:sz w:val="32"/>
          <w:szCs w:val="32"/>
        </w:rPr>
      </w:pPr>
      <w:r>
        <w:rPr>
          <w:rFonts w:hint="eastAsia" w:ascii="楷体" w:hAnsi="楷体" w:eastAsia="楷体"/>
          <w:b/>
          <w:color w:val="333333"/>
          <w:sz w:val="32"/>
          <w:szCs w:val="32"/>
        </w:rPr>
        <w:t>（三）财政拨款（补助）支出情况</w:t>
      </w:r>
    </w:p>
    <w:p>
      <w:pPr>
        <w:pStyle w:val="5"/>
        <w:shd w:val="clear" w:color="auto" w:fill="FFFFFF"/>
        <w:snapToGrid w:val="0"/>
        <w:spacing w:before="0" w:beforeAutospacing="0" w:after="0" w:afterAutospacing="0" w:line="480" w:lineRule="exact"/>
        <w:ind w:firstLine="770" w:firstLineChars="200"/>
        <w:rPr>
          <w:rFonts w:ascii="仿宋" w:hAnsi="仿宋" w:eastAsia="仿宋"/>
          <w:sz w:val="32"/>
          <w:szCs w:val="32"/>
        </w:rPr>
      </w:pPr>
      <w:r>
        <w:rPr>
          <w:rFonts w:hint="eastAsia" w:ascii="仿宋" w:hAnsi="仿宋" w:eastAsia="仿宋"/>
          <w:sz w:val="32"/>
          <w:szCs w:val="32"/>
        </w:rPr>
        <w:t>2018年人社局财政拨款（补助）支出预算6333.11万元，占支出预算总额的61.79%，具体为：一般公共服务支出410.38万元，占支出预算总额的4%；社会保障和就业支1925.21万元，占支出预算总额的18.78%；医疗卫生支出1777.45万元，占支出预算总额的17.34%；社会保险基金支出43.2万元，占支出预算总额的0.42%；农林水支出2100万元，占支出预算总额的20.49%；住房保障支出76.86万元，占支出预算总额的0.75%。</w:t>
      </w:r>
    </w:p>
    <w:p>
      <w:pPr>
        <w:ind w:firstLine="600"/>
        <w:rPr>
          <w:rFonts w:hint="eastAsia"/>
          <w:b/>
          <w:sz w:val="30"/>
          <w:szCs w:val="30"/>
        </w:rPr>
      </w:pPr>
      <w:r>
        <w:rPr>
          <w:rFonts w:hint="eastAsia"/>
          <w:b/>
          <w:sz w:val="30"/>
          <w:szCs w:val="30"/>
        </w:rPr>
        <w:t>（四）政府性基金情况</w:t>
      </w:r>
    </w:p>
    <w:p>
      <w:pPr>
        <w:ind w:firstLine="600"/>
        <w:rPr>
          <w:rFonts w:hint="eastAsia"/>
          <w:sz w:val="30"/>
          <w:szCs w:val="30"/>
          <w:lang w:eastAsia="zh-CN"/>
        </w:rPr>
      </w:pPr>
      <w:r>
        <w:rPr>
          <w:rFonts w:hint="eastAsia"/>
          <w:sz w:val="30"/>
          <w:szCs w:val="30"/>
        </w:rPr>
        <w:t xml:space="preserve">  </w:t>
      </w:r>
      <w:r>
        <w:rPr>
          <w:rFonts w:hint="eastAsia"/>
          <w:sz w:val="30"/>
          <w:szCs w:val="30"/>
          <w:lang w:eastAsia="zh-CN"/>
        </w:rPr>
        <w:t>无</w:t>
      </w:r>
    </w:p>
    <w:p>
      <w:pPr>
        <w:ind w:firstLine="600"/>
        <w:rPr>
          <w:rFonts w:hint="eastAsia"/>
          <w:b/>
          <w:sz w:val="30"/>
          <w:szCs w:val="30"/>
        </w:rPr>
      </w:pPr>
      <w:r>
        <w:rPr>
          <w:rFonts w:hint="eastAsia"/>
          <w:b/>
          <w:sz w:val="30"/>
          <w:szCs w:val="30"/>
        </w:rPr>
        <w:t>（五）机关运行经费等重要事项的说明</w:t>
      </w:r>
    </w:p>
    <w:p>
      <w:pPr>
        <w:ind w:firstLine="600"/>
        <w:rPr>
          <w:rFonts w:hint="eastAsia"/>
          <w:sz w:val="30"/>
          <w:szCs w:val="30"/>
        </w:rPr>
      </w:pPr>
      <w:r>
        <w:rPr>
          <w:rFonts w:hint="eastAsia"/>
          <w:sz w:val="30"/>
          <w:szCs w:val="30"/>
        </w:rPr>
        <w:t xml:space="preserve"> </w:t>
      </w:r>
      <w:r>
        <w:rPr>
          <w:rFonts w:hint="eastAsia"/>
          <w:sz w:val="30"/>
          <w:szCs w:val="30"/>
          <w:lang w:val="en-US" w:eastAsia="zh-CN"/>
        </w:rPr>
        <w:t>2018</w:t>
      </w:r>
      <w:r>
        <w:rPr>
          <w:rFonts w:hint="eastAsia"/>
          <w:sz w:val="30"/>
          <w:szCs w:val="30"/>
        </w:rPr>
        <w:t>年本部门机关运行经费预算</w:t>
      </w:r>
      <w:r>
        <w:rPr>
          <w:rFonts w:hint="eastAsia"/>
          <w:sz w:val="30"/>
          <w:szCs w:val="30"/>
          <w:lang w:val="en-US" w:eastAsia="zh-CN"/>
        </w:rPr>
        <w:t>539.74</w:t>
      </w:r>
      <w:r>
        <w:rPr>
          <w:rFonts w:hint="eastAsia"/>
          <w:sz w:val="30"/>
          <w:szCs w:val="30"/>
        </w:rPr>
        <w:t>万元，比上年减少</w:t>
      </w:r>
      <w:r>
        <w:rPr>
          <w:rFonts w:hint="eastAsia"/>
          <w:sz w:val="30"/>
          <w:szCs w:val="30"/>
          <w:lang w:val="en-US" w:eastAsia="zh-CN"/>
        </w:rPr>
        <w:t>12.78</w:t>
      </w:r>
      <w:r>
        <w:rPr>
          <w:rFonts w:hint="eastAsia"/>
          <w:sz w:val="30"/>
          <w:szCs w:val="30"/>
        </w:rPr>
        <w:t>%，主要原因是本部门</w:t>
      </w:r>
      <w:r>
        <w:rPr>
          <w:rFonts w:hint="eastAsia"/>
          <w:sz w:val="30"/>
          <w:szCs w:val="30"/>
          <w:lang w:eastAsia="zh-CN"/>
        </w:rPr>
        <w:t>缩减了开支</w:t>
      </w:r>
      <w:r>
        <w:rPr>
          <w:rFonts w:hint="eastAsia"/>
          <w:sz w:val="30"/>
          <w:szCs w:val="30"/>
        </w:rPr>
        <w:t>。</w:t>
      </w:r>
    </w:p>
    <w:p>
      <w:pPr>
        <w:ind w:firstLine="600"/>
        <w:rPr>
          <w:rFonts w:hint="eastAsia"/>
          <w:b/>
          <w:sz w:val="30"/>
          <w:szCs w:val="30"/>
        </w:rPr>
      </w:pPr>
      <w:r>
        <w:rPr>
          <w:rFonts w:hint="eastAsia"/>
          <w:b/>
          <w:sz w:val="30"/>
          <w:szCs w:val="30"/>
        </w:rPr>
        <w:t>（六）政府采购情况</w:t>
      </w:r>
    </w:p>
    <w:p>
      <w:pPr>
        <w:ind w:firstLine="600"/>
        <w:rPr>
          <w:rFonts w:hint="eastAsia"/>
          <w:sz w:val="30"/>
          <w:szCs w:val="30"/>
        </w:rPr>
      </w:pPr>
      <w:r>
        <w:rPr>
          <w:rFonts w:hint="eastAsia"/>
          <w:sz w:val="30"/>
          <w:szCs w:val="30"/>
        </w:rPr>
        <w:t xml:space="preserve"> </w:t>
      </w:r>
      <w:r>
        <w:rPr>
          <w:rFonts w:hint="eastAsia"/>
          <w:sz w:val="30"/>
          <w:szCs w:val="30"/>
          <w:lang w:val="en-US" w:eastAsia="zh-CN"/>
        </w:rPr>
        <w:t>2018</w:t>
      </w:r>
      <w:r>
        <w:rPr>
          <w:rFonts w:hint="eastAsia"/>
          <w:sz w:val="30"/>
          <w:szCs w:val="30"/>
        </w:rPr>
        <w:t>年我局政府采购预算共安排</w:t>
      </w:r>
      <w:r>
        <w:rPr>
          <w:rFonts w:hint="eastAsia"/>
          <w:sz w:val="30"/>
          <w:szCs w:val="30"/>
          <w:lang w:val="en-US" w:eastAsia="zh-CN"/>
        </w:rPr>
        <w:t>452.78</w:t>
      </w:r>
      <w:r>
        <w:rPr>
          <w:rFonts w:hint="eastAsia"/>
          <w:sz w:val="30"/>
          <w:szCs w:val="30"/>
        </w:rPr>
        <w:t>万元。</w:t>
      </w:r>
      <w:r>
        <w:rPr>
          <w:rFonts w:hint="eastAsia"/>
          <w:sz w:val="30"/>
          <w:szCs w:val="30"/>
          <w:lang w:eastAsia="zh-CN"/>
        </w:rPr>
        <w:t>预计</w:t>
      </w:r>
      <w:r>
        <w:rPr>
          <w:rFonts w:hint="eastAsia"/>
          <w:sz w:val="30"/>
          <w:szCs w:val="30"/>
          <w:lang w:val="en-US" w:eastAsia="zh-CN"/>
        </w:rPr>
        <w:t>2018年将搬迁新办公大楼，用于新办公大楼的设备采购。</w:t>
      </w:r>
      <w:r>
        <w:rPr>
          <w:rFonts w:hint="eastAsia"/>
          <w:sz w:val="30"/>
          <w:szCs w:val="30"/>
        </w:rPr>
        <w:t>。</w:t>
      </w:r>
    </w:p>
    <w:p>
      <w:pPr>
        <w:ind w:firstLine="600"/>
        <w:rPr>
          <w:rFonts w:hint="eastAsia"/>
          <w:b/>
          <w:sz w:val="30"/>
          <w:szCs w:val="30"/>
        </w:rPr>
      </w:pPr>
      <w:r>
        <w:rPr>
          <w:rFonts w:hint="eastAsia"/>
          <w:b/>
          <w:sz w:val="30"/>
          <w:szCs w:val="30"/>
        </w:rPr>
        <w:t>二、</w:t>
      </w:r>
      <w:r>
        <w:rPr>
          <w:rFonts w:hint="eastAsia"/>
          <w:b/>
          <w:sz w:val="30"/>
          <w:szCs w:val="30"/>
          <w:lang w:val="en-US" w:eastAsia="zh-CN"/>
        </w:rPr>
        <w:t>2018</w:t>
      </w:r>
      <w:r>
        <w:rPr>
          <w:rFonts w:hint="eastAsia"/>
          <w:b/>
          <w:sz w:val="30"/>
          <w:szCs w:val="30"/>
        </w:rPr>
        <w:t>年“三公”经费预算情况说明</w:t>
      </w:r>
    </w:p>
    <w:p>
      <w:pPr>
        <w:ind w:firstLine="600"/>
        <w:rPr>
          <w:rFonts w:hint="eastAsia"/>
          <w:sz w:val="30"/>
          <w:szCs w:val="30"/>
        </w:rPr>
      </w:pPr>
      <w:r>
        <w:rPr>
          <w:rFonts w:hint="eastAsia"/>
          <w:sz w:val="30"/>
          <w:szCs w:val="30"/>
        </w:rPr>
        <w:t xml:space="preserve"> </w:t>
      </w:r>
      <w:r>
        <w:rPr>
          <w:rFonts w:hint="eastAsia"/>
          <w:sz w:val="30"/>
          <w:szCs w:val="30"/>
          <w:lang w:val="en-US" w:eastAsia="zh-CN"/>
        </w:rPr>
        <w:t>2018</w:t>
      </w:r>
      <w:r>
        <w:rPr>
          <w:rFonts w:hint="eastAsia"/>
          <w:sz w:val="30"/>
          <w:szCs w:val="30"/>
        </w:rPr>
        <w:t>年</w:t>
      </w:r>
      <w:r>
        <w:rPr>
          <w:rFonts w:hint="eastAsia"/>
          <w:sz w:val="30"/>
          <w:szCs w:val="30"/>
          <w:lang w:eastAsia="zh-CN"/>
        </w:rPr>
        <w:t>人社局</w:t>
      </w:r>
      <w:r>
        <w:rPr>
          <w:rFonts w:hint="eastAsia"/>
          <w:sz w:val="30"/>
          <w:szCs w:val="30"/>
        </w:rPr>
        <w:t>“三公”经费年初预算安排</w:t>
      </w:r>
      <w:r>
        <w:rPr>
          <w:rFonts w:hint="eastAsia"/>
          <w:sz w:val="30"/>
          <w:szCs w:val="30"/>
          <w:lang w:val="en-US" w:eastAsia="zh-CN"/>
        </w:rPr>
        <w:t>54.6</w:t>
      </w:r>
      <w:r>
        <w:rPr>
          <w:rFonts w:hint="eastAsia"/>
          <w:sz w:val="30"/>
          <w:szCs w:val="30"/>
        </w:rPr>
        <w:t>万元，</w:t>
      </w:r>
      <w:r>
        <w:rPr>
          <w:rFonts w:hint="eastAsia"/>
          <w:sz w:val="30"/>
          <w:szCs w:val="30"/>
          <w:lang w:eastAsia="zh-CN"/>
        </w:rPr>
        <w:t>与上年维持不变</w:t>
      </w:r>
      <w:r>
        <w:rPr>
          <w:rFonts w:hint="eastAsia"/>
          <w:sz w:val="30"/>
          <w:szCs w:val="30"/>
        </w:rPr>
        <w:t>。具体为：</w:t>
      </w:r>
    </w:p>
    <w:p>
      <w:pPr>
        <w:ind w:firstLine="600"/>
        <w:rPr>
          <w:rFonts w:hint="eastAsia"/>
          <w:sz w:val="30"/>
          <w:szCs w:val="30"/>
        </w:rPr>
      </w:pPr>
      <w:r>
        <w:rPr>
          <w:rFonts w:hint="eastAsia"/>
          <w:sz w:val="30"/>
          <w:szCs w:val="30"/>
        </w:rPr>
        <w:t>1.公务接待费</w:t>
      </w:r>
      <w:r>
        <w:rPr>
          <w:rFonts w:hint="eastAsia"/>
          <w:sz w:val="30"/>
          <w:szCs w:val="30"/>
          <w:lang w:val="en-US" w:eastAsia="zh-CN"/>
        </w:rPr>
        <w:t>34.8</w:t>
      </w:r>
      <w:r>
        <w:rPr>
          <w:rFonts w:hint="eastAsia"/>
          <w:sz w:val="30"/>
          <w:szCs w:val="30"/>
        </w:rPr>
        <w:t>万元，与上年</w:t>
      </w:r>
      <w:r>
        <w:rPr>
          <w:rFonts w:hint="eastAsia"/>
          <w:sz w:val="30"/>
          <w:szCs w:val="30"/>
          <w:lang w:eastAsia="zh-CN"/>
        </w:rPr>
        <w:t>持平</w:t>
      </w:r>
      <w:r>
        <w:rPr>
          <w:rFonts w:hint="eastAsia"/>
          <w:sz w:val="30"/>
          <w:szCs w:val="30"/>
        </w:rPr>
        <w:t>。</w:t>
      </w:r>
    </w:p>
    <w:p>
      <w:pPr>
        <w:ind w:firstLine="600"/>
        <w:rPr>
          <w:rFonts w:hint="eastAsia"/>
          <w:sz w:val="30"/>
          <w:szCs w:val="30"/>
        </w:rPr>
      </w:pPr>
      <w:r>
        <w:rPr>
          <w:rFonts w:hint="eastAsia"/>
          <w:sz w:val="30"/>
          <w:szCs w:val="30"/>
        </w:rPr>
        <w:t>2.因公出国（境）支出预算</w:t>
      </w:r>
      <w:r>
        <w:rPr>
          <w:rFonts w:hint="eastAsia"/>
          <w:sz w:val="30"/>
          <w:szCs w:val="30"/>
          <w:lang w:val="en-US" w:eastAsia="zh-CN"/>
        </w:rPr>
        <w:t>0</w:t>
      </w:r>
      <w:r>
        <w:rPr>
          <w:rFonts w:hint="eastAsia"/>
          <w:sz w:val="30"/>
          <w:szCs w:val="30"/>
        </w:rPr>
        <w:t>万元，与上年</w:t>
      </w:r>
      <w:r>
        <w:rPr>
          <w:rFonts w:hint="eastAsia"/>
          <w:sz w:val="30"/>
          <w:szCs w:val="30"/>
          <w:lang w:eastAsia="zh-CN"/>
        </w:rPr>
        <w:t>持平</w:t>
      </w:r>
      <w:r>
        <w:rPr>
          <w:rFonts w:hint="eastAsia"/>
          <w:sz w:val="30"/>
          <w:szCs w:val="30"/>
        </w:rPr>
        <w:t>。</w:t>
      </w:r>
    </w:p>
    <w:p>
      <w:pPr>
        <w:ind w:firstLine="600"/>
        <w:rPr>
          <w:rFonts w:hint="eastAsia"/>
          <w:sz w:val="30"/>
          <w:szCs w:val="30"/>
        </w:rPr>
      </w:pPr>
      <w:r>
        <w:rPr>
          <w:rFonts w:hint="eastAsia"/>
          <w:sz w:val="30"/>
          <w:szCs w:val="30"/>
        </w:rPr>
        <w:t>3.公务用车购置及运行维护费</w:t>
      </w:r>
      <w:r>
        <w:rPr>
          <w:rFonts w:hint="eastAsia"/>
          <w:sz w:val="30"/>
          <w:szCs w:val="30"/>
          <w:lang w:val="en-US" w:eastAsia="zh-CN"/>
        </w:rPr>
        <w:t>19.8</w:t>
      </w:r>
      <w:r>
        <w:rPr>
          <w:rFonts w:hint="eastAsia"/>
          <w:sz w:val="30"/>
          <w:szCs w:val="30"/>
        </w:rPr>
        <w:t>万元，比上年</w:t>
      </w:r>
      <w:r>
        <w:rPr>
          <w:rFonts w:hint="eastAsia"/>
          <w:sz w:val="30"/>
          <w:szCs w:val="30"/>
          <w:lang w:eastAsia="zh-CN"/>
        </w:rPr>
        <w:t>持平</w:t>
      </w:r>
      <w:r>
        <w:rPr>
          <w:rFonts w:hint="eastAsia"/>
          <w:sz w:val="30"/>
          <w:szCs w:val="30"/>
        </w:rPr>
        <w:t>。</w:t>
      </w:r>
    </w:p>
    <w:p>
      <w:pPr>
        <w:ind w:firstLine="600"/>
        <w:rPr>
          <w:rFonts w:hint="eastAsia"/>
          <w:sz w:val="30"/>
          <w:szCs w:val="30"/>
        </w:rPr>
      </w:pPr>
    </w:p>
    <w:p>
      <w:pPr>
        <w:ind w:firstLine="600"/>
        <w:rPr>
          <w:rFonts w:hint="eastAsia"/>
          <w:b/>
          <w:sz w:val="30"/>
          <w:szCs w:val="30"/>
        </w:rPr>
      </w:pPr>
      <w:r>
        <w:rPr>
          <w:rFonts w:hint="eastAsia"/>
          <w:b/>
          <w:sz w:val="30"/>
          <w:szCs w:val="30"/>
        </w:rPr>
        <w:t>第三部分  名词解释</w:t>
      </w:r>
    </w:p>
    <w:p>
      <w:pPr>
        <w:pStyle w:val="2"/>
        <w:ind w:firstLine="690" w:firstLineChars="200"/>
        <w:jc w:val="center"/>
        <w:rPr>
          <w:rFonts w:hint="eastAsia" w:hAnsi="宋体" w:cs="宋体"/>
          <w:b/>
          <w:sz w:val="28"/>
          <w:szCs w:val="28"/>
        </w:rPr>
      </w:pPr>
    </w:p>
    <w:p>
      <w:pPr>
        <w:pStyle w:val="2"/>
        <w:ind w:firstLine="690" w:firstLineChars="200"/>
        <w:rPr>
          <w:rFonts w:hint="eastAsia" w:hAnsi="宋体" w:cs="宋体"/>
          <w:sz w:val="28"/>
          <w:szCs w:val="28"/>
        </w:rPr>
      </w:pPr>
      <w:r>
        <w:rPr>
          <w:rFonts w:hint="eastAsia" w:hAnsi="宋体" w:cs="宋体"/>
          <w:sz w:val="28"/>
          <w:szCs w:val="28"/>
        </w:rPr>
        <w:t>社会保障和就业支出（类）人力资源和社会保障管理事务（款）社会保险经办机构（项）：反映事业单位人员工资和日常公用经费支出。</w:t>
      </w:r>
    </w:p>
    <w:p>
      <w:pPr>
        <w:pStyle w:val="2"/>
        <w:ind w:firstLine="690" w:firstLineChars="200"/>
        <w:rPr>
          <w:rFonts w:hint="eastAsia" w:hAnsi="宋体" w:cs="宋体"/>
          <w:sz w:val="28"/>
          <w:szCs w:val="28"/>
        </w:rPr>
      </w:pPr>
      <w:r>
        <w:rPr>
          <w:rFonts w:hint="eastAsia" w:hAnsi="宋体" w:cs="宋体"/>
          <w:sz w:val="28"/>
          <w:szCs w:val="28"/>
        </w:rPr>
        <w:t>社会保障和就业支出（类）行政事业单位离退休（款）机关事业单位基本养老保险缴费支出（项）：反映机关事业单位人员养老保险缴费支出。</w:t>
      </w:r>
    </w:p>
    <w:p>
      <w:pPr>
        <w:pStyle w:val="2"/>
        <w:ind w:firstLine="690" w:firstLineChars="200"/>
        <w:rPr>
          <w:rFonts w:hint="eastAsia" w:hAnsi="宋体" w:cs="宋体"/>
          <w:sz w:val="28"/>
          <w:szCs w:val="28"/>
        </w:rPr>
      </w:pPr>
      <w:r>
        <w:rPr>
          <w:rFonts w:hint="eastAsia" w:hAnsi="宋体" w:cs="宋体"/>
          <w:sz w:val="28"/>
          <w:szCs w:val="28"/>
        </w:rPr>
        <w:t>社会保障和就业支出（类）财政对其他社会保险基金的补助（款）财政对工伤保险基金的补助（项）：反映财政对工伤保险的支出。</w:t>
      </w:r>
    </w:p>
    <w:p>
      <w:pPr>
        <w:pStyle w:val="2"/>
        <w:ind w:firstLine="690" w:firstLineChars="200"/>
        <w:rPr>
          <w:rFonts w:hint="eastAsia" w:hAnsi="宋体" w:cs="宋体"/>
          <w:sz w:val="28"/>
          <w:szCs w:val="28"/>
        </w:rPr>
      </w:pPr>
      <w:r>
        <w:rPr>
          <w:rFonts w:hint="eastAsia" w:hAnsi="宋体" w:cs="宋体"/>
          <w:sz w:val="28"/>
          <w:szCs w:val="28"/>
        </w:rPr>
        <w:t>社会保障和就业支出（类）财政对其他社会保险基金的补助（款）其他财政对社会保障基金的补助（项）：反映财政对离休人员医保的支出。</w:t>
      </w:r>
    </w:p>
    <w:p>
      <w:pPr>
        <w:pStyle w:val="2"/>
        <w:ind w:firstLine="690" w:firstLineChars="200"/>
        <w:rPr>
          <w:rFonts w:hint="eastAsia" w:hAnsi="宋体" w:cs="宋体"/>
          <w:sz w:val="28"/>
          <w:szCs w:val="28"/>
        </w:rPr>
      </w:pPr>
      <w:r>
        <w:rPr>
          <w:rFonts w:hint="eastAsia" w:hAnsi="宋体" w:cs="宋体"/>
          <w:sz w:val="28"/>
          <w:szCs w:val="28"/>
        </w:rPr>
        <w:t>医疗卫生与计划生育支出（类）行政事业单位医疗（款）事业单位医疗（项）：反映对事业单位人员基本医疗保险费支出。</w:t>
      </w:r>
    </w:p>
    <w:p>
      <w:pPr>
        <w:pStyle w:val="2"/>
        <w:ind w:firstLine="690" w:firstLineChars="200"/>
        <w:rPr>
          <w:rFonts w:hint="eastAsia" w:hAnsi="宋体" w:cs="宋体"/>
          <w:sz w:val="28"/>
          <w:szCs w:val="28"/>
        </w:rPr>
      </w:pPr>
      <w:r>
        <w:rPr>
          <w:rFonts w:hint="eastAsia" w:hAnsi="宋体" w:cs="宋体"/>
          <w:sz w:val="28"/>
          <w:szCs w:val="28"/>
        </w:rPr>
        <w:t>医疗卫生与计划生育支出（类）行政事业单位医疗（款）公务员医疗补助（项）：反映对行政事业单位公务员医疗补助支出。</w:t>
      </w:r>
    </w:p>
    <w:p>
      <w:pPr>
        <w:pStyle w:val="2"/>
        <w:ind w:firstLine="690" w:firstLineChars="200"/>
        <w:rPr>
          <w:rFonts w:hint="eastAsia" w:hAnsi="宋体" w:cs="宋体"/>
          <w:sz w:val="28"/>
          <w:szCs w:val="28"/>
        </w:rPr>
      </w:pPr>
      <w:r>
        <w:rPr>
          <w:rFonts w:hint="eastAsia" w:hAnsi="宋体" w:cs="宋体"/>
          <w:sz w:val="28"/>
          <w:szCs w:val="28"/>
        </w:rPr>
        <w:t>医疗卫生与计划生育支出（类）财政对基本医疗保险基金的补助（款）财政对城镇职工基本医疗保险基金的补助（项）：反映对城镇职工基本医疗保险基金补助支出。</w:t>
      </w:r>
    </w:p>
    <w:p>
      <w:pPr>
        <w:pStyle w:val="2"/>
        <w:ind w:firstLine="690" w:firstLineChars="200"/>
        <w:rPr>
          <w:rFonts w:hint="eastAsia" w:hAnsi="宋体" w:cs="宋体"/>
          <w:sz w:val="28"/>
          <w:szCs w:val="28"/>
        </w:rPr>
      </w:pPr>
      <w:r>
        <w:rPr>
          <w:rFonts w:hint="eastAsia" w:hAnsi="宋体" w:cs="宋体"/>
          <w:sz w:val="28"/>
          <w:szCs w:val="28"/>
        </w:rPr>
        <w:t>医疗卫生与计划生育支出（类）财政对基本医疗保险基金的补助（款）财政对新型农村合作医疗基金的补助（项）：反映对新型农村合作医疗基金补助支出。</w:t>
      </w:r>
    </w:p>
    <w:p>
      <w:pPr>
        <w:pStyle w:val="2"/>
        <w:ind w:firstLine="690" w:firstLineChars="200"/>
        <w:rPr>
          <w:rFonts w:hint="eastAsia" w:hAnsi="宋体" w:cs="宋体"/>
          <w:sz w:val="28"/>
          <w:szCs w:val="28"/>
        </w:rPr>
      </w:pPr>
      <w:r>
        <w:rPr>
          <w:rFonts w:hint="eastAsia" w:hAnsi="宋体" w:cs="宋体"/>
          <w:sz w:val="28"/>
          <w:szCs w:val="28"/>
        </w:rPr>
        <w:t>医疗卫生与计划生育支出（类）财政对基本医疗保险基金的补助（款）财政对城镇居民基本医疗保险基金的补助（项）：反映对城镇居民基本医疗保险医疗基金补助支出。</w:t>
      </w:r>
    </w:p>
    <w:p>
      <w:pPr>
        <w:pStyle w:val="2"/>
        <w:ind w:firstLine="690" w:firstLineChars="200"/>
        <w:rPr>
          <w:rFonts w:hint="eastAsia" w:hAnsi="宋体" w:cs="宋体"/>
          <w:sz w:val="28"/>
          <w:szCs w:val="28"/>
        </w:rPr>
      </w:pPr>
      <w:r>
        <w:rPr>
          <w:rFonts w:hint="eastAsia" w:hAnsi="宋体" w:cs="宋体"/>
          <w:sz w:val="28"/>
          <w:szCs w:val="28"/>
        </w:rPr>
        <w:t>住房保障支出（类）住房改革支出（款）住房公积金（项）：反映对行政事业单位在职职工缴纳的住房公积金。</w:t>
      </w:r>
    </w:p>
    <w:p>
      <w:pPr>
        <w:pStyle w:val="2"/>
        <w:ind w:firstLine="675" w:firstLineChars="196"/>
        <w:rPr>
          <w:rFonts w:hint="eastAsia" w:hAnsi="宋体" w:cs="宋体"/>
          <w:sz w:val="28"/>
          <w:szCs w:val="28"/>
        </w:rPr>
      </w:pPr>
      <w:r>
        <w:rPr>
          <w:rFonts w:hint="eastAsia" w:hAnsi="宋体" w:cs="宋体"/>
          <w:b/>
          <w:sz w:val="28"/>
          <w:szCs w:val="28"/>
        </w:rPr>
        <w:t>基本支出：</w:t>
      </w:r>
      <w:r>
        <w:rPr>
          <w:rFonts w:hint="eastAsia" w:hAnsi="宋体" w:cs="宋体"/>
          <w:sz w:val="28"/>
          <w:szCs w:val="28"/>
        </w:rPr>
        <w:t>指为保障社会保险经办机构正常运转、完成日常工作任务而发生的人员经费支出和公用经费支出。</w:t>
      </w:r>
    </w:p>
    <w:p>
      <w:pPr>
        <w:pStyle w:val="2"/>
        <w:ind w:firstLine="675" w:firstLineChars="196"/>
        <w:rPr>
          <w:rFonts w:hint="eastAsia" w:hAnsi="宋体" w:cs="宋体"/>
          <w:sz w:val="28"/>
          <w:szCs w:val="28"/>
        </w:rPr>
      </w:pPr>
      <w:r>
        <w:rPr>
          <w:rFonts w:hint="eastAsia" w:hAnsi="宋体" w:cs="宋体"/>
          <w:b/>
          <w:sz w:val="28"/>
          <w:szCs w:val="28"/>
        </w:rPr>
        <w:t>项目支出：</w:t>
      </w:r>
      <w:r>
        <w:rPr>
          <w:rFonts w:hint="eastAsia" w:hAnsi="宋体" w:cs="宋体"/>
          <w:sz w:val="28"/>
          <w:szCs w:val="28"/>
        </w:rPr>
        <w:t>指在基本支出之外为完成特定行政任务和事业发展目标所发生的支出。</w:t>
      </w:r>
    </w:p>
    <w:p>
      <w:pPr>
        <w:pStyle w:val="2"/>
        <w:ind w:firstLine="675" w:firstLineChars="196"/>
        <w:rPr>
          <w:rFonts w:hint="eastAsia" w:hAnsi="宋体" w:cs="宋体"/>
          <w:sz w:val="28"/>
          <w:szCs w:val="28"/>
        </w:rPr>
      </w:pPr>
      <w:r>
        <w:rPr>
          <w:rFonts w:hint="eastAsia" w:hAnsi="宋体" w:cs="宋体"/>
          <w:b/>
          <w:sz w:val="28"/>
          <w:szCs w:val="28"/>
        </w:rPr>
        <w:t>“三公”经费：</w:t>
      </w:r>
      <w:r>
        <w:rPr>
          <w:rFonts w:hint="eastAsia" w:hAnsi="宋体" w:cs="宋体"/>
          <w:sz w:val="28"/>
          <w:szCs w:val="28"/>
        </w:rPr>
        <w:t>纳入财政预决算管理的“三公”经费，是指该部门用财政拨款安排的因公出国（境）费、公务用车购置及运行维护费和公务接待费。</w:t>
      </w:r>
    </w:p>
    <w:p>
      <w:pPr>
        <w:pStyle w:val="2"/>
        <w:ind w:firstLine="686" w:firstLineChars="199"/>
        <w:rPr>
          <w:rFonts w:hint="eastAsia" w:hAnsi="宋体" w:cs="宋体"/>
          <w:sz w:val="28"/>
          <w:szCs w:val="28"/>
        </w:rPr>
      </w:pPr>
      <w:r>
        <w:rPr>
          <w:rFonts w:hint="eastAsia" w:hAnsi="宋体" w:cs="宋体"/>
          <w:b/>
          <w:sz w:val="28"/>
          <w:szCs w:val="28"/>
        </w:rPr>
        <w:t>机关事业运行经费：</w:t>
      </w:r>
      <w:r>
        <w:rPr>
          <w:rFonts w:hint="eastAsia" w:hAnsi="宋体" w:cs="宋体"/>
          <w:sz w:val="28"/>
          <w:szCs w:val="28"/>
        </w:rPr>
        <w:t>为保障行政事业单位正常运行，用于购买货物和服务的各项资金，包括办公费、印刷费、咨询费、邮电费、差旅费、会议费、培训费、福利费、办公用房水电费、办公用房租赁费、办公用房物业管理费、其他交通费以及其他费用。</w:t>
      </w:r>
    </w:p>
    <w:p>
      <w:pPr>
        <w:pStyle w:val="2"/>
        <w:ind w:firstLine="420"/>
        <w:rPr>
          <w:rFonts w:hAnsi="宋体" w:cs="宋体"/>
          <w:sz w:val="28"/>
          <w:szCs w:val="28"/>
        </w:rPr>
      </w:pPr>
    </w:p>
    <w:p>
      <w:pPr>
        <w:ind w:firstLine="600"/>
        <w:rPr>
          <w:rFonts w:hint="eastAsia"/>
          <w:sz w:val="30"/>
          <w:szCs w:val="30"/>
        </w:rPr>
      </w:pPr>
    </w:p>
    <w:p>
      <w:pPr>
        <w:pStyle w:val="5"/>
        <w:shd w:val="clear" w:color="auto" w:fill="FFFFFF"/>
        <w:snapToGrid w:val="0"/>
        <w:spacing w:before="0" w:beforeAutospacing="0" w:after="0" w:afterAutospacing="0" w:line="480" w:lineRule="exact"/>
        <w:ind w:firstLine="770" w:firstLineChars="200"/>
        <w:rPr>
          <w:rFonts w:ascii="仿宋" w:hAnsi="仿宋" w:eastAsia="仿宋"/>
          <w:color w:val="333333"/>
          <w:sz w:val="32"/>
          <w:szCs w:val="32"/>
        </w:rPr>
      </w:pPr>
    </w:p>
    <w:p>
      <w:pPr>
        <w:pStyle w:val="5"/>
        <w:shd w:val="clear" w:color="auto" w:fill="FFFFFF"/>
        <w:snapToGrid w:val="0"/>
        <w:spacing w:before="0" w:beforeAutospacing="0" w:after="0" w:afterAutospacing="0" w:line="480" w:lineRule="exact"/>
        <w:ind w:firstLine="770" w:firstLineChars="200"/>
        <w:rPr>
          <w:rFonts w:ascii="仿宋" w:hAnsi="仿宋" w:eastAsia="仿宋"/>
          <w:color w:val="333333"/>
          <w:sz w:val="32"/>
          <w:szCs w:val="32"/>
        </w:rPr>
      </w:pPr>
    </w:p>
    <w:p>
      <w:pPr>
        <w:pStyle w:val="5"/>
        <w:shd w:val="clear" w:color="auto" w:fill="FFFFFF"/>
        <w:snapToGrid w:val="0"/>
        <w:spacing w:before="0" w:beforeAutospacing="0" w:after="0" w:afterAutospacing="0" w:line="480" w:lineRule="exact"/>
        <w:ind w:firstLine="770" w:firstLineChars="200"/>
        <w:rPr>
          <w:rFonts w:ascii="仿宋" w:hAnsi="仿宋" w:eastAsia="仿宋"/>
          <w:color w:val="333333"/>
          <w:sz w:val="32"/>
          <w:szCs w:val="32"/>
        </w:rPr>
      </w:pPr>
    </w:p>
    <w:p>
      <w:pPr>
        <w:pStyle w:val="5"/>
        <w:shd w:val="clear" w:color="auto" w:fill="FFFFFF"/>
        <w:snapToGrid w:val="0"/>
        <w:spacing w:before="0" w:beforeAutospacing="0" w:after="0" w:afterAutospacing="0" w:line="480" w:lineRule="exact"/>
        <w:ind w:firstLine="3799" w:firstLineChars="987"/>
        <w:rPr>
          <w:rFonts w:ascii="仿宋" w:hAnsi="仿宋" w:eastAsia="仿宋"/>
          <w:color w:val="333333"/>
          <w:sz w:val="32"/>
          <w:szCs w:val="32"/>
        </w:rPr>
      </w:pPr>
      <w:r>
        <w:rPr>
          <w:rFonts w:ascii="仿宋" w:hAnsi="仿宋" w:eastAsia="仿宋"/>
          <w:color w:val="333333"/>
          <w:sz w:val="32"/>
          <w:szCs w:val="32"/>
        </w:rPr>
        <w:t>2018年2月2</w:t>
      </w:r>
      <w:r>
        <w:rPr>
          <w:rFonts w:hint="eastAsia" w:ascii="仿宋" w:hAnsi="仿宋" w:eastAsia="仿宋"/>
          <w:color w:val="333333"/>
          <w:sz w:val="32"/>
          <w:szCs w:val="32"/>
        </w:rPr>
        <w:t>7</w:t>
      </w:r>
      <w:r>
        <w:rPr>
          <w:rFonts w:ascii="仿宋" w:hAnsi="仿宋" w:eastAsia="仿宋"/>
          <w:color w:val="333333"/>
          <w:sz w:val="32"/>
          <w:szCs w:val="32"/>
        </w:rPr>
        <w:t>日</w:t>
      </w:r>
    </w:p>
    <w:sectPr>
      <w:pgSz w:w="11849" w:h="16781"/>
      <w:pgMar w:top="1440" w:right="1797" w:bottom="1440" w:left="1797" w:header="851" w:footer="992" w:gutter="0"/>
      <w:cols w:space="720" w:num="1"/>
      <w:docGrid w:type="linesAndChars" w:linePitch="425" w:charSpace="134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宋体">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D14B8"/>
    <w:rsid w:val="000757CA"/>
    <w:rsid w:val="000E2A76"/>
    <w:rsid w:val="0012655A"/>
    <w:rsid w:val="00180A14"/>
    <w:rsid w:val="001842C1"/>
    <w:rsid w:val="0027271A"/>
    <w:rsid w:val="002F51E3"/>
    <w:rsid w:val="00340843"/>
    <w:rsid w:val="003B5184"/>
    <w:rsid w:val="004A05BF"/>
    <w:rsid w:val="00503EC3"/>
    <w:rsid w:val="005B494D"/>
    <w:rsid w:val="00912649"/>
    <w:rsid w:val="009C52EC"/>
    <w:rsid w:val="00A2350A"/>
    <w:rsid w:val="00A84902"/>
    <w:rsid w:val="00AD14B8"/>
    <w:rsid w:val="00B25DCB"/>
    <w:rsid w:val="00BA70F4"/>
    <w:rsid w:val="00C84F9B"/>
    <w:rsid w:val="00D230DE"/>
    <w:rsid w:val="00D64256"/>
    <w:rsid w:val="29C9064C"/>
    <w:rsid w:val="58D22978"/>
    <w:rsid w:val="7C7D7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eastAsia="宋体" w:cs="宋体"/>
      <w:kern w:val="0"/>
      <w:sz w:val="24"/>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370</Words>
  <Characters>2113</Characters>
  <Lines>17</Lines>
  <Paragraphs>4</Paragraphs>
  <TotalTime>0</TotalTime>
  <ScaleCrop>false</ScaleCrop>
  <LinksUpToDate>false</LinksUpToDate>
  <CharactersWithSpaces>2479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2018-01-30T07:16:00Z</dcterms:created>
  <dc:creator>news001</dc:creator>
  <cp:lastModifiedBy>news001</cp:lastModifiedBy>
  <cp:lastPrinted>2018-02-28T03:47:00Z</cp:lastPrinted>
  <dcterms:modified xsi:type="dcterms:W3CDTF">2018-10-22T07:34:06Z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