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hint="eastAsia" w:ascii="宋体" w:hAnsi="宋体" w:eastAsia="宋体" w:cs="宋体"/>
          <w:b/>
          <w:bCs/>
          <w:sz w:val="44"/>
          <w:szCs w:val="36"/>
        </w:rPr>
      </w:pPr>
      <w:r>
        <w:rPr>
          <w:rFonts w:hint="eastAsia" w:ascii="宋体" w:hAnsi="宋体" w:cs="宋体"/>
          <w:b/>
          <w:bCs/>
          <w:sz w:val="44"/>
          <w:szCs w:val="36"/>
          <w:lang w:eastAsia="zh-CN"/>
        </w:rPr>
        <w:t>兴国县林业局</w:t>
      </w:r>
      <w:r>
        <w:rPr>
          <w:rFonts w:hint="eastAsia" w:ascii="宋体" w:hAnsi="宋体" w:eastAsia="宋体" w:cs="宋体"/>
          <w:b/>
          <w:bCs/>
          <w:sz w:val="44"/>
          <w:szCs w:val="36"/>
        </w:rPr>
        <w:t>2020年度部门决算</w:t>
      </w:r>
    </w:p>
    <w:p>
      <w:pPr>
        <w:spacing w:line="600" w:lineRule="exact"/>
        <w:jc w:val="center"/>
        <w:rPr>
          <w:rFonts w:hint="eastAsia" w:ascii="黑体" w:eastAsia="黑体"/>
          <w:sz w:val="44"/>
          <w:szCs w:val="36"/>
          <w:lang w:eastAsia="zh-CN"/>
        </w:rPr>
      </w:pPr>
    </w:p>
    <w:p>
      <w:pPr>
        <w:spacing w:line="600" w:lineRule="exact"/>
        <w:jc w:val="center"/>
        <w:rPr>
          <w:rFonts w:hint="eastAsia" w:ascii="宋体" w:hAnsi="宋体" w:eastAsia="宋体" w:cs="宋体"/>
          <w:b/>
          <w:bCs/>
          <w:sz w:val="40"/>
          <w:szCs w:val="36"/>
        </w:rPr>
      </w:pPr>
      <w:r>
        <w:rPr>
          <w:rFonts w:hint="eastAsia" w:ascii="宋体" w:hAnsi="宋体" w:eastAsia="宋体" w:cs="宋体"/>
          <w:b/>
          <w:bCs/>
          <w:sz w:val="40"/>
          <w:szCs w:val="36"/>
        </w:rPr>
        <w:t>目    录</w:t>
      </w:r>
    </w:p>
    <w:p>
      <w:pPr>
        <w:widowControl/>
        <w:spacing w:line="600" w:lineRule="exact"/>
        <w:ind w:firstLine="640"/>
        <w:jc w:val="left"/>
        <w:rPr>
          <w:rFonts w:hint="eastAsia" w:ascii="仿宋_GB2312" w:eastAsia="仿宋_GB2312"/>
          <w:sz w:val="32"/>
          <w:szCs w:val="30"/>
        </w:rPr>
      </w:pPr>
    </w:p>
    <w:p>
      <w:pPr>
        <w:widowControl/>
        <w:spacing w:line="600" w:lineRule="exact"/>
        <w:ind w:firstLine="640"/>
        <w:jc w:val="left"/>
        <w:rPr>
          <w:rFonts w:hint="eastAsia" w:ascii="黑体" w:hAnsi="黑体" w:eastAsia="黑体"/>
          <w:b w:val="0"/>
          <w:bCs/>
          <w:sz w:val="32"/>
          <w:szCs w:val="32"/>
        </w:rPr>
      </w:pPr>
      <w:r>
        <w:rPr>
          <w:rFonts w:hint="eastAsia" w:ascii="黑体" w:hAnsi="黑体" w:eastAsia="黑体"/>
          <w:b w:val="0"/>
          <w:bCs/>
          <w:sz w:val="32"/>
          <w:szCs w:val="32"/>
        </w:rPr>
        <w:t>第一部分  兴国县林业局概况</w:t>
      </w:r>
    </w:p>
    <w:p>
      <w:pPr>
        <w:widowControl/>
        <w:spacing w:line="600" w:lineRule="exact"/>
        <w:ind w:firstLine="640"/>
        <w:jc w:val="left"/>
        <w:rPr>
          <w:rFonts w:hint="eastAsia" w:ascii="仿宋" w:hAnsi="仿宋" w:eastAsia="仿宋"/>
          <w:sz w:val="32"/>
          <w:szCs w:val="30"/>
        </w:rPr>
      </w:pPr>
      <w:r>
        <w:rPr>
          <w:rFonts w:hint="eastAsia" w:ascii="仿宋_GB2312" w:eastAsia="仿宋_GB2312"/>
          <w:b/>
          <w:sz w:val="32"/>
          <w:szCs w:val="30"/>
        </w:rPr>
        <w:t xml:space="preserve">    </w:t>
      </w:r>
      <w:r>
        <w:rPr>
          <w:rFonts w:hint="eastAsia" w:ascii="仿宋" w:hAnsi="仿宋" w:eastAsia="仿宋"/>
          <w:sz w:val="32"/>
          <w:szCs w:val="30"/>
        </w:rPr>
        <w:t>一、部门主要职责</w:t>
      </w:r>
    </w:p>
    <w:p>
      <w:pPr>
        <w:widowControl/>
        <w:spacing w:line="60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 xml:space="preserve">    二、部门基本情况</w:t>
      </w:r>
    </w:p>
    <w:p>
      <w:pPr>
        <w:widowControl/>
        <w:spacing w:line="600" w:lineRule="exact"/>
        <w:ind w:firstLine="640"/>
        <w:jc w:val="left"/>
        <w:rPr>
          <w:rFonts w:hint="eastAsia" w:ascii="黑体" w:hAnsi="黑体" w:eastAsia="黑体"/>
          <w:sz w:val="32"/>
          <w:szCs w:val="32"/>
        </w:rPr>
      </w:pPr>
      <w:r>
        <w:rPr>
          <w:rFonts w:hint="eastAsia" w:ascii="黑体" w:hAnsi="黑体" w:eastAsia="黑体"/>
          <w:sz w:val="32"/>
          <w:szCs w:val="32"/>
        </w:rPr>
        <w:t>第二部分  2020年度部门决算表</w:t>
      </w:r>
    </w:p>
    <w:p>
      <w:pPr>
        <w:widowControl/>
        <w:spacing w:line="600" w:lineRule="exact"/>
        <w:ind w:firstLine="1280" w:firstLineChars="400"/>
        <w:jc w:val="left"/>
        <w:rPr>
          <w:rFonts w:hint="eastAsia" w:ascii="仿宋" w:hAnsi="仿宋" w:eastAsia="仿宋"/>
          <w:sz w:val="32"/>
          <w:szCs w:val="30"/>
        </w:rPr>
      </w:pPr>
      <w:r>
        <w:rPr>
          <w:rFonts w:hint="eastAsia" w:ascii="仿宋" w:hAnsi="仿宋" w:eastAsia="仿宋"/>
          <w:sz w:val="32"/>
          <w:szCs w:val="30"/>
        </w:rPr>
        <w:t>一、收入支出决算总表</w:t>
      </w:r>
    </w:p>
    <w:p>
      <w:pPr>
        <w:widowControl/>
        <w:spacing w:line="600" w:lineRule="exact"/>
        <w:ind w:firstLine="1280" w:firstLineChars="400"/>
        <w:jc w:val="left"/>
        <w:rPr>
          <w:rFonts w:hint="eastAsia" w:ascii="仿宋" w:hAnsi="仿宋" w:eastAsia="仿宋"/>
          <w:sz w:val="32"/>
          <w:szCs w:val="30"/>
        </w:rPr>
      </w:pPr>
      <w:r>
        <w:rPr>
          <w:rFonts w:hint="eastAsia" w:ascii="仿宋" w:hAnsi="仿宋" w:eastAsia="仿宋"/>
          <w:sz w:val="32"/>
          <w:szCs w:val="30"/>
        </w:rPr>
        <w:t>二、收入决算表</w:t>
      </w:r>
    </w:p>
    <w:p>
      <w:pPr>
        <w:widowControl/>
        <w:spacing w:line="60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 xml:space="preserve">    三、支出决算表</w:t>
      </w:r>
    </w:p>
    <w:p>
      <w:pPr>
        <w:widowControl/>
        <w:spacing w:line="60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 xml:space="preserve">    四、财政拨款收入支出决算总表</w:t>
      </w:r>
    </w:p>
    <w:p>
      <w:pPr>
        <w:widowControl/>
        <w:spacing w:line="60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 xml:space="preserve">    五、一般公共预算财政拨款支出决算表</w:t>
      </w:r>
    </w:p>
    <w:p>
      <w:pPr>
        <w:widowControl/>
        <w:spacing w:line="60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 xml:space="preserve">    六、一般公共预算财政拨款基本支出决算表</w:t>
      </w:r>
    </w:p>
    <w:p>
      <w:pPr>
        <w:widowControl/>
        <w:spacing w:line="60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 xml:space="preserve">    七、一般公共预算财政拨款“三公”经费支出决算</w:t>
      </w:r>
    </w:p>
    <w:p>
      <w:pPr>
        <w:widowControl/>
        <w:spacing w:line="60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表</w:t>
      </w:r>
    </w:p>
    <w:p>
      <w:pPr>
        <w:widowControl/>
        <w:numPr>
          <w:ilvl w:val="0"/>
          <w:numId w:val="1"/>
        </w:numPr>
        <w:spacing w:line="600" w:lineRule="exact"/>
        <w:ind w:left="1280" w:leftChars="0" w:firstLine="0" w:firstLineChars="0"/>
        <w:jc w:val="left"/>
        <w:rPr>
          <w:rFonts w:hint="eastAsia" w:ascii="仿宋" w:hAnsi="仿宋" w:eastAsia="仿宋" w:cs="宋体"/>
          <w:kern w:val="0"/>
          <w:sz w:val="32"/>
          <w:szCs w:val="32"/>
        </w:rPr>
      </w:pPr>
      <w:r>
        <w:rPr>
          <w:rFonts w:hint="eastAsia" w:ascii="仿宋" w:hAnsi="仿宋" w:eastAsia="仿宋" w:cs="宋体"/>
          <w:kern w:val="0"/>
          <w:sz w:val="32"/>
          <w:szCs w:val="32"/>
        </w:rPr>
        <w:t>政府性基金预算财政拨款收入支出决算表</w:t>
      </w:r>
    </w:p>
    <w:p>
      <w:pPr>
        <w:widowControl/>
        <w:numPr>
          <w:ilvl w:val="0"/>
          <w:numId w:val="1"/>
        </w:numPr>
        <w:spacing w:line="600" w:lineRule="exact"/>
        <w:ind w:left="1280" w:leftChars="0" w:firstLine="0" w:firstLineChars="0"/>
        <w:jc w:val="left"/>
        <w:rPr>
          <w:rFonts w:hint="eastAsia" w:ascii="仿宋" w:hAnsi="仿宋" w:eastAsia="仿宋" w:cs="宋体"/>
          <w:kern w:val="0"/>
          <w:sz w:val="32"/>
          <w:szCs w:val="32"/>
        </w:rPr>
      </w:pPr>
      <w:r>
        <w:rPr>
          <w:rFonts w:hint="eastAsia" w:ascii="仿宋" w:hAnsi="仿宋" w:eastAsia="仿宋" w:cs="宋体"/>
          <w:kern w:val="0"/>
          <w:sz w:val="32"/>
          <w:szCs w:val="32"/>
          <w:lang w:val="en-US" w:eastAsia="zh-CN"/>
        </w:rPr>
        <w:t>国有资本经营预算财政拨款支出决算表</w:t>
      </w:r>
    </w:p>
    <w:p>
      <w:pPr>
        <w:widowControl/>
        <w:spacing w:line="60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 xml:space="preserve">    </w:t>
      </w:r>
      <w:r>
        <w:rPr>
          <w:rFonts w:hint="eastAsia" w:ascii="仿宋" w:hAnsi="仿宋" w:eastAsia="仿宋" w:cs="宋体"/>
          <w:kern w:val="0"/>
          <w:sz w:val="32"/>
          <w:szCs w:val="32"/>
          <w:lang w:val="en-US" w:eastAsia="zh-CN"/>
        </w:rPr>
        <w:t>十</w:t>
      </w:r>
      <w:r>
        <w:rPr>
          <w:rFonts w:hint="eastAsia" w:ascii="仿宋" w:hAnsi="仿宋" w:eastAsia="仿宋" w:cs="宋体"/>
          <w:kern w:val="0"/>
          <w:sz w:val="32"/>
          <w:szCs w:val="32"/>
        </w:rPr>
        <w:t>、国有资产占用情况表</w:t>
      </w:r>
    </w:p>
    <w:p>
      <w:pPr>
        <w:widowControl/>
        <w:spacing w:line="600" w:lineRule="exact"/>
        <w:jc w:val="left"/>
        <w:rPr>
          <w:rFonts w:hint="eastAsia" w:ascii="黑体" w:hAnsi="黑体" w:eastAsia="黑体"/>
          <w:sz w:val="32"/>
          <w:szCs w:val="32"/>
        </w:rPr>
      </w:pPr>
      <w:r>
        <w:rPr>
          <w:rFonts w:hint="eastAsia" w:ascii="仿宋" w:hAnsi="仿宋" w:eastAsia="仿宋" w:cs="宋体"/>
          <w:kern w:val="0"/>
          <w:sz w:val="32"/>
          <w:szCs w:val="32"/>
        </w:rPr>
        <w:t xml:space="preserve">    </w:t>
      </w:r>
      <w:r>
        <w:rPr>
          <w:rFonts w:hint="eastAsia" w:ascii="黑体" w:hAnsi="黑体" w:eastAsia="黑体"/>
          <w:sz w:val="32"/>
          <w:szCs w:val="32"/>
        </w:rPr>
        <w:t>第三部分  2020年度部门决算情况说明</w:t>
      </w:r>
    </w:p>
    <w:p>
      <w:pPr>
        <w:widowControl/>
        <w:spacing w:line="600" w:lineRule="exact"/>
        <w:ind w:firstLine="1280" w:firstLineChars="400"/>
        <w:jc w:val="left"/>
        <w:rPr>
          <w:rFonts w:hint="eastAsia" w:ascii="仿宋" w:hAnsi="仿宋" w:eastAsia="仿宋"/>
          <w:sz w:val="32"/>
          <w:szCs w:val="30"/>
        </w:rPr>
      </w:pPr>
      <w:r>
        <w:rPr>
          <w:rFonts w:hint="eastAsia" w:ascii="仿宋" w:hAnsi="仿宋" w:eastAsia="仿宋"/>
          <w:sz w:val="32"/>
          <w:szCs w:val="30"/>
        </w:rPr>
        <w:t>一、收入决算情况说明</w:t>
      </w:r>
    </w:p>
    <w:p>
      <w:pPr>
        <w:widowControl/>
        <w:spacing w:line="600" w:lineRule="exact"/>
        <w:ind w:firstLine="1280" w:firstLineChars="400"/>
        <w:jc w:val="left"/>
        <w:rPr>
          <w:rFonts w:hint="eastAsia" w:ascii="仿宋" w:hAnsi="仿宋" w:eastAsia="仿宋"/>
          <w:sz w:val="32"/>
          <w:szCs w:val="30"/>
        </w:rPr>
      </w:pPr>
      <w:r>
        <w:rPr>
          <w:rFonts w:hint="eastAsia" w:ascii="仿宋" w:hAnsi="仿宋" w:eastAsia="仿宋"/>
          <w:sz w:val="32"/>
          <w:szCs w:val="30"/>
        </w:rPr>
        <w:t>二、支出决算情况说明</w:t>
      </w:r>
    </w:p>
    <w:p>
      <w:pPr>
        <w:widowControl/>
        <w:spacing w:line="600" w:lineRule="exact"/>
        <w:ind w:firstLine="1280" w:firstLineChars="400"/>
        <w:jc w:val="left"/>
        <w:rPr>
          <w:rFonts w:hint="eastAsia" w:ascii="仿宋" w:hAnsi="仿宋" w:eastAsia="仿宋"/>
          <w:sz w:val="32"/>
          <w:szCs w:val="30"/>
        </w:rPr>
      </w:pPr>
      <w:r>
        <w:rPr>
          <w:rFonts w:hint="eastAsia" w:ascii="仿宋" w:hAnsi="仿宋" w:eastAsia="仿宋"/>
          <w:sz w:val="32"/>
          <w:szCs w:val="30"/>
        </w:rPr>
        <w:t>三、财政拨款支出决算情况说明</w:t>
      </w:r>
    </w:p>
    <w:p>
      <w:pPr>
        <w:widowControl/>
        <w:spacing w:line="600" w:lineRule="exact"/>
        <w:ind w:firstLine="1280" w:firstLineChars="400"/>
        <w:jc w:val="left"/>
        <w:rPr>
          <w:rFonts w:hint="eastAsia" w:ascii="仿宋" w:hAnsi="仿宋" w:eastAsia="仿宋"/>
          <w:sz w:val="32"/>
          <w:szCs w:val="30"/>
        </w:rPr>
      </w:pPr>
      <w:r>
        <w:rPr>
          <w:rFonts w:hint="eastAsia" w:ascii="仿宋" w:hAnsi="仿宋" w:eastAsia="仿宋"/>
          <w:sz w:val="32"/>
          <w:szCs w:val="30"/>
        </w:rPr>
        <w:t>四、一般公共预算财政拨款基本支出决算情况说明</w:t>
      </w:r>
    </w:p>
    <w:p>
      <w:pPr>
        <w:widowControl/>
        <w:spacing w:line="600" w:lineRule="exact"/>
        <w:ind w:firstLine="1280" w:firstLineChars="400"/>
        <w:jc w:val="left"/>
        <w:rPr>
          <w:rFonts w:hint="eastAsia" w:ascii="仿宋" w:hAnsi="仿宋" w:eastAsia="仿宋"/>
          <w:sz w:val="32"/>
          <w:szCs w:val="30"/>
        </w:rPr>
      </w:pPr>
      <w:r>
        <w:rPr>
          <w:rFonts w:hint="eastAsia" w:ascii="仿宋" w:hAnsi="仿宋" w:eastAsia="仿宋"/>
          <w:sz w:val="32"/>
          <w:szCs w:val="30"/>
        </w:rPr>
        <w:t>五、一般公共预算财政拨款“三公”经费支出决算</w:t>
      </w:r>
    </w:p>
    <w:p>
      <w:pPr>
        <w:widowControl/>
        <w:spacing w:line="600" w:lineRule="exact"/>
        <w:jc w:val="left"/>
        <w:rPr>
          <w:rFonts w:hint="eastAsia" w:ascii="仿宋" w:hAnsi="仿宋" w:eastAsia="仿宋"/>
          <w:sz w:val="32"/>
          <w:szCs w:val="30"/>
        </w:rPr>
      </w:pPr>
      <w:r>
        <w:rPr>
          <w:rFonts w:hint="eastAsia" w:ascii="仿宋" w:hAnsi="仿宋" w:eastAsia="仿宋"/>
          <w:sz w:val="32"/>
          <w:szCs w:val="30"/>
        </w:rPr>
        <w:t xml:space="preserve">    情况说明</w:t>
      </w:r>
    </w:p>
    <w:p>
      <w:pPr>
        <w:widowControl/>
        <w:spacing w:line="600" w:lineRule="exact"/>
        <w:ind w:firstLine="1280" w:firstLineChars="400"/>
        <w:jc w:val="left"/>
        <w:rPr>
          <w:rFonts w:hint="eastAsia" w:ascii="仿宋" w:hAnsi="仿宋" w:eastAsia="仿宋"/>
          <w:sz w:val="32"/>
          <w:szCs w:val="30"/>
        </w:rPr>
      </w:pPr>
      <w:r>
        <w:rPr>
          <w:rFonts w:hint="eastAsia" w:ascii="仿宋" w:hAnsi="仿宋" w:eastAsia="仿宋"/>
          <w:sz w:val="32"/>
          <w:szCs w:val="30"/>
        </w:rPr>
        <w:t>六、机关运行经费支出情况说明</w:t>
      </w:r>
    </w:p>
    <w:p>
      <w:pPr>
        <w:widowControl/>
        <w:spacing w:line="600" w:lineRule="exact"/>
        <w:ind w:firstLine="640"/>
        <w:jc w:val="left"/>
        <w:rPr>
          <w:rFonts w:hint="eastAsia" w:ascii="仿宋" w:hAnsi="仿宋" w:eastAsia="仿宋"/>
          <w:sz w:val="32"/>
          <w:szCs w:val="30"/>
        </w:rPr>
      </w:pPr>
      <w:r>
        <w:rPr>
          <w:rFonts w:hint="eastAsia" w:ascii="仿宋" w:hAnsi="仿宋" w:eastAsia="仿宋"/>
          <w:sz w:val="32"/>
          <w:szCs w:val="30"/>
        </w:rPr>
        <w:t xml:space="preserve">    七、政府采购支出情况说明</w:t>
      </w:r>
    </w:p>
    <w:p>
      <w:pPr>
        <w:widowControl/>
        <w:spacing w:line="600" w:lineRule="exact"/>
        <w:ind w:firstLine="640"/>
        <w:jc w:val="left"/>
        <w:rPr>
          <w:rFonts w:hint="eastAsia" w:ascii="仿宋" w:hAnsi="仿宋" w:eastAsia="仿宋"/>
          <w:sz w:val="32"/>
          <w:szCs w:val="30"/>
        </w:rPr>
      </w:pPr>
      <w:r>
        <w:rPr>
          <w:rFonts w:hint="eastAsia" w:ascii="仿宋" w:hAnsi="仿宋" w:eastAsia="仿宋"/>
          <w:sz w:val="32"/>
          <w:szCs w:val="30"/>
        </w:rPr>
        <w:t xml:space="preserve">    八、国有资产占用情况说明</w:t>
      </w:r>
    </w:p>
    <w:p>
      <w:pPr>
        <w:widowControl/>
        <w:spacing w:line="600" w:lineRule="exact"/>
        <w:ind w:firstLine="640"/>
        <w:jc w:val="left"/>
        <w:rPr>
          <w:rFonts w:hint="eastAsia" w:ascii="仿宋" w:hAnsi="仿宋" w:eastAsia="仿宋"/>
          <w:sz w:val="32"/>
          <w:szCs w:val="30"/>
        </w:rPr>
      </w:pPr>
      <w:r>
        <w:rPr>
          <w:rFonts w:hint="eastAsia" w:ascii="仿宋" w:hAnsi="仿宋" w:eastAsia="仿宋"/>
          <w:sz w:val="32"/>
          <w:szCs w:val="30"/>
        </w:rPr>
        <w:t xml:space="preserve">    九、预算绩效情况说明</w:t>
      </w:r>
    </w:p>
    <w:p>
      <w:pPr>
        <w:widowControl/>
        <w:spacing w:line="600" w:lineRule="exact"/>
        <w:ind w:firstLine="640"/>
        <w:jc w:val="left"/>
        <w:rPr>
          <w:rFonts w:hint="eastAsia" w:ascii="黑体" w:hAnsi="黑体" w:eastAsia="黑体"/>
          <w:sz w:val="32"/>
          <w:szCs w:val="32"/>
        </w:rPr>
      </w:pPr>
      <w:r>
        <w:rPr>
          <w:rFonts w:hint="eastAsia" w:ascii="黑体" w:hAnsi="黑体" w:eastAsia="黑体"/>
          <w:sz w:val="32"/>
          <w:szCs w:val="32"/>
        </w:rPr>
        <w:t>第四部分  名词解释</w:t>
      </w:r>
    </w:p>
    <w:p>
      <w:pPr>
        <w:widowControl/>
        <w:spacing w:line="600" w:lineRule="exact"/>
        <w:ind w:firstLine="640"/>
        <w:jc w:val="left"/>
        <w:rPr>
          <w:rFonts w:hint="eastAsia" w:ascii="黑体" w:hAnsi="黑体" w:eastAsia="黑体"/>
          <w:sz w:val="32"/>
          <w:szCs w:val="32"/>
        </w:rPr>
      </w:pPr>
    </w:p>
    <w:p>
      <w:pPr>
        <w:widowControl/>
        <w:spacing w:line="600" w:lineRule="exact"/>
        <w:ind w:firstLine="640"/>
        <w:jc w:val="left"/>
        <w:rPr>
          <w:rFonts w:hint="eastAsia" w:ascii="黑体" w:hAnsi="黑体" w:eastAsia="黑体"/>
          <w:sz w:val="32"/>
          <w:szCs w:val="32"/>
        </w:rPr>
      </w:pPr>
      <w:bookmarkStart w:id="0" w:name="_GoBack"/>
      <w:bookmarkEnd w:id="0"/>
    </w:p>
    <w:p>
      <w:pPr>
        <w:widowControl/>
        <w:spacing w:line="580" w:lineRule="exact"/>
        <w:jc w:val="center"/>
        <w:rPr>
          <w:rFonts w:hint="eastAsia" w:ascii="宋体" w:hAnsi="宋体"/>
          <w:b/>
          <w:sz w:val="32"/>
          <w:szCs w:val="30"/>
        </w:rPr>
      </w:pPr>
      <w:r>
        <w:rPr>
          <w:rFonts w:hint="eastAsia" w:ascii="宋体" w:hAnsi="宋体"/>
          <w:b/>
          <w:sz w:val="32"/>
          <w:szCs w:val="30"/>
        </w:rPr>
        <w:t xml:space="preserve">第一部分  </w:t>
      </w:r>
      <w:r>
        <w:rPr>
          <w:rFonts w:hint="eastAsia" w:ascii="宋体" w:hAnsi="宋体"/>
          <w:b/>
          <w:sz w:val="32"/>
          <w:szCs w:val="32"/>
        </w:rPr>
        <w:t>兴国县林业局</w:t>
      </w:r>
      <w:r>
        <w:rPr>
          <w:rFonts w:hint="eastAsia" w:ascii="宋体" w:hAnsi="宋体"/>
          <w:b/>
          <w:sz w:val="32"/>
          <w:szCs w:val="30"/>
        </w:rPr>
        <w:t>概况</w:t>
      </w:r>
    </w:p>
    <w:p>
      <w:pPr>
        <w:ind w:firstLine="630"/>
        <w:jc w:val="center"/>
        <w:rPr>
          <w:rFonts w:hint="eastAsia"/>
          <w:sz w:val="32"/>
          <w:szCs w:val="32"/>
        </w:rPr>
      </w:pPr>
    </w:p>
    <w:p>
      <w:pPr>
        <w:ind w:firstLine="630"/>
        <w:jc w:val="left"/>
        <w:rPr>
          <w:rFonts w:hint="eastAsia" w:ascii="黑体" w:hAnsi="黑体" w:eastAsia="黑体"/>
          <w:sz w:val="30"/>
          <w:szCs w:val="30"/>
        </w:rPr>
      </w:pPr>
      <w:r>
        <w:rPr>
          <w:rFonts w:hint="eastAsia" w:ascii="黑体" w:hAnsi="黑体" w:eastAsia="黑体"/>
          <w:sz w:val="30"/>
          <w:szCs w:val="30"/>
        </w:rPr>
        <w:t>一、部门主要职能</w:t>
      </w:r>
    </w:p>
    <w:p>
      <w:pPr>
        <w:ind w:firstLine="630"/>
        <w:jc w:val="left"/>
        <w:rPr>
          <w:rFonts w:hint="eastAsia" w:ascii="仿宋" w:hAnsi="仿宋" w:eastAsia="仿宋"/>
          <w:sz w:val="30"/>
          <w:szCs w:val="30"/>
        </w:rPr>
      </w:pPr>
      <w:r>
        <w:rPr>
          <w:rFonts w:hint="eastAsia" w:ascii="仿宋" w:hAnsi="仿宋" w:eastAsia="仿宋"/>
          <w:sz w:val="30"/>
          <w:szCs w:val="30"/>
        </w:rPr>
        <w:t>兴国县林业局为县政府主管林业工作的工作部门，正科级，由县自然资源局统一领导和管理。主要职能如下：</w:t>
      </w:r>
    </w:p>
    <w:p>
      <w:pPr>
        <w:ind w:firstLine="630"/>
        <w:jc w:val="left"/>
        <w:rPr>
          <w:rFonts w:hint="eastAsia" w:ascii="仿宋" w:hAnsi="仿宋" w:eastAsia="仿宋"/>
          <w:sz w:val="30"/>
          <w:szCs w:val="30"/>
        </w:rPr>
      </w:pPr>
      <w:r>
        <w:rPr>
          <w:rFonts w:hint="eastAsia" w:ascii="仿宋" w:hAnsi="仿宋" w:eastAsia="仿宋"/>
          <w:sz w:val="30"/>
          <w:szCs w:val="30"/>
        </w:rPr>
        <w:t>1.贯彻执行国家关于林业建设和发展的方针、政策和法律、法规；制定全县林业发展规划、计划并组织实施；指导全县林业体制改革；草拟林业有关规范性文件，经批准后组织实施。</w:t>
      </w:r>
    </w:p>
    <w:p>
      <w:pPr>
        <w:ind w:firstLine="630"/>
        <w:jc w:val="left"/>
        <w:rPr>
          <w:rFonts w:hint="eastAsia" w:ascii="仿宋" w:hAnsi="仿宋" w:eastAsia="仿宋"/>
          <w:sz w:val="30"/>
          <w:szCs w:val="30"/>
        </w:rPr>
      </w:pPr>
      <w:r>
        <w:rPr>
          <w:rFonts w:hint="eastAsia" w:ascii="仿宋" w:hAnsi="仿宋" w:eastAsia="仿宋"/>
          <w:sz w:val="30"/>
          <w:szCs w:val="30"/>
        </w:rPr>
        <w:t>2.组织指导全县造林绿化和各类林业基地及林业重点工程建设；制定造林抚育和森林经营技术规程，并组织贯彻落实。</w:t>
      </w:r>
    </w:p>
    <w:p>
      <w:pPr>
        <w:ind w:firstLine="630"/>
        <w:jc w:val="left"/>
        <w:rPr>
          <w:rFonts w:hint="eastAsia" w:ascii="仿宋" w:hAnsi="仿宋" w:eastAsia="仿宋"/>
          <w:sz w:val="30"/>
          <w:szCs w:val="30"/>
        </w:rPr>
      </w:pPr>
      <w:r>
        <w:rPr>
          <w:rFonts w:hint="eastAsia" w:ascii="仿宋" w:hAnsi="仿宋" w:eastAsia="仿宋"/>
          <w:sz w:val="30"/>
          <w:szCs w:val="30"/>
        </w:rPr>
        <w:t>3.开展全县林政管理工作；组织编制、审核、报批森林采伐限额，并监督执行；监督木材采伐凭证、收购凭证、运输凭证等；依据《中华人民共和国森林法》《中华人民共和国土地管理法》及省有关法规规章，负责本县征、占用林地的报批和审批管理及林地开发利用；负责本县公益林和天然林管理及保护。</w:t>
      </w:r>
    </w:p>
    <w:p>
      <w:pPr>
        <w:ind w:firstLine="630"/>
        <w:jc w:val="left"/>
        <w:rPr>
          <w:rFonts w:hint="eastAsia" w:ascii="仿宋" w:hAnsi="仿宋" w:eastAsia="仿宋"/>
          <w:sz w:val="30"/>
          <w:szCs w:val="30"/>
        </w:rPr>
      </w:pPr>
      <w:r>
        <w:rPr>
          <w:rFonts w:hint="eastAsia" w:ascii="仿宋" w:hAnsi="仿宋" w:eastAsia="仿宋"/>
          <w:sz w:val="30"/>
          <w:szCs w:val="30"/>
        </w:rPr>
        <w:t>4.组织指导全县林产工业生产、多种经营技术改造工作；审批林业基本建设；开发森林旅游；负责全县林产品加工、制造、林地花卉等多种经营管理工作。</w:t>
      </w:r>
    </w:p>
    <w:p>
      <w:pPr>
        <w:ind w:firstLine="630"/>
        <w:jc w:val="left"/>
        <w:rPr>
          <w:rFonts w:hint="eastAsia" w:ascii="仿宋" w:hAnsi="仿宋" w:eastAsia="仿宋"/>
          <w:sz w:val="30"/>
          <w:szCs w:val="30"/>
        </w:rPr>
      </w:pPr>
      <w:r>
        <w:rPr>
          <w:rFonts w:hint="eastAsia" w:ascii="仿宋" w:hAnsi="仿宋" w:eastAsia="仿宋"/>
          <w:sz w:val="30"/>
          <w:szCs w:val="30"/>
        </w:rPr>
        <w:t>5.负责全县林业基金的征收、上缴；监督林业基金的管理使用；监督管理国有林业资产。</w:t>
      </w:r>
    </w:p>
    <w:p>
      <w:pPr>
        <w:ind w:firstLine="630"/>
        <w:jc w:val="left"/>
        <w:rPr>
          <w:rFonts w:hint="eastAsia" w:ascii="仿宋" w:hAnsi="仿宋" w:eastAsia="仿宋"/>
          <w:sz w:val="30"/>
          <w:szCs w:val="30"/>
        </w:rPr>
      </w:pPr>
      <w:r>
        <w:rPr>
          <w:rFonts w:hint="eastAsia" w:ascii="仿宋" w:hAnsi="仿宋" w:eastAsia="仿宋"/>
          <w:sz w:val="30"/>
          <w:szCs w:val="30"/>
        </w:rPr>
        <w:t>6.负责管理陆生野生动物、植物、湿地资源的保护及合理开发利用；建立珍稀野生动植物救护机制；查处破坏森林资源和野生动植物资源的重大案件；负责全县森林病虫害防治、植物检疫工作；配合有关部门做好水土保持、农村能源发展、农业综合开发等工作。</w:t>
      </w:r>
    </w:p>
    <w:p>
      <w:pPr>
        <w:ind w:firstLine="630"/>
        <w:jc w:val="left"/>
        <w:rPr>
          <w:rFonts w:hint="eastAsia" w:ascii="仿宋" w:hAnsi="仿宋" w:eastAsia="仿宋"/>
          <w:sz w:val="30"/>
          <w:szCs w:val="30"/>
        </w:rPr>
      </w:pPr>
      <w:r>
        <w:rPr>
          <w:rFonts w:hint="eastAsia" w:ascii="仿宋" w:hAnsi="仿宋" w:eastAsia="仿宋"/>
          <w:sz w:val="30"/>
          <w:szCs w:val="30"/>
        </w:rPr>
        <w:t>7.负责林业行业安全生产监督管理。指导协调全县林业企事业单位的森林采伐和林产品加工生产经营中的安全监督管理工作。负责风景名胜区、自然保护区、自然遗产、地质公园等安全生产监督管理。</w:t>
      </w:r>
    </w:p>
    <w:p>
      <w:pPr>
        <w:ind w:firstLine="630"/>
        <w:jc w:val="left"/>
        <w:rPr>
          <w:rFonts w:hint="eastAsia" w:ascii="仿宋" w:hAnsi="仿宋" w:eastAsia="仿宋"/>
          <w:sz w:val="30"/>
          <w:szCs w:val="30"/>
        </w:rPr>
      </w:pPr>
      <w:r>
        <w:rPr>
          <w:rFonts w:hint="eastAsia" w:ascii="仿宋" w:hAnsi="仿宋" w:eastAsia="仿宋"/>
          <w:sz w:val="30"/>
          <w:szCs w:val="30"/>
        </w:rPr>
        <w:t>8.负责各类自然保护地、陆生野生动植物资源、湿地资源的监督管理，负责林业行业生态环境保护和节能减排工作。制定和实施林业生态建设规划、森林资源保护利用规划、湿地保护规划，负责指导开展防火巡护、火源管理、防火设施建设等工作，维护森林生态安全和湿地生态安全，加强林业生态建设的监督管理。</w:t>
      </w:r>
    </w:p>
    <w:p>
      <w:pPr>
        <w:ind w:firstLine="630"/>
        <w:jc w:val="left"/>
        <w:rPr>
          <w:rFonts w:hint="eastAsia" w:ascii="仿宋" w:hAnsi="仿宋" w:eastAsia="仿宋"/>
          <w:sz w:val="30"/>
          <w:szCs w:val="30"/>
        </w:rPr>
      </w:pPr>
      <w:r>
        <w:rPr>
          <w:rFonts w:hint="eastAsia" w:ascii="仿宋" w:hAnsi="仿宋" w:eastAsia="仿宋"/>
          <w:sz w:val="30"/>
          <w:szCs w:val="30"/>
        </w:rPr>
        <w:t>9.组织制定全县林业科学技术发展规划，组织科研项目攻关和科研成果的推广运用；负责技术改造项目的预审、报批。</w:t>
      </w:r>
    </w:p>
    <w:p>
      <w:pPr>
        <w:ind w:firstLine="630"/>
        <w:jc w:val="left"/>
        <w:rPr>
          <w:rFonts w:hint="eastAsia" w:ascii="仿宋" w:hAnsi="仿宋" w:eastAsia="仿宋"/>
          <w:sz w:val="30"/>
          <w:szCs w:val="30"/>
        </w:rPr>
      </w:pPr>
      <w:r>
        <w:rPr>
          <w:rFonts w:hint="eastAsia" w:ascii="仿宋" w:hAnsi="仿宋" w:eastAsia="仿宋"/>
          <w:sz w:val="30"/>
          <w:szCs w:val="30"/>
        </w:rPr>
        <w:t>10.指导管理全县林业专业人才培训及林业科技普及推广工作；负责全县林业行业技术人员的管理、劳动保护、安全生产等工作。</w:t>
      </w:r>
    </w:p>
    <w:p>
      <w:pPr>
        <w:ind w:firstLine="630"/>
        <w:jc w:val="left"/>
        <w:rPr>
          <w:rFonts w:hint="eastAsia" w:ascii="仿宋" w:hAnsi="仿宋" w:eastAsia="仿宋"/>
          <w:sz w:val="30"/>
          <w:szCs w:val="30"/>
        </w:rPr>
      </w:pPr>
      <w:r>
        <w:rPr>
          <w:rFonts w:hint="eastAsia" w:ascii="仿宋" w:hAnsi="仿宋" w:eastAsia="仿宋"/>
          <w:sz w:val="30"/>
          <w:szCs w:val="30"/>
        </w:rPr>
        <w:t>11.贯彻执行党和国家有关自然保护区、风景名胜区、自然遗产、地质公园管理、建设方面的法律、法规、方针、政策和有关规定。</w:t>
      </w:r>
    </w:p>
    <w:p>
      <w:pPr>
        <w:ind w:firstLine="630"/>
        <w:jc w:val="left"/>
        <w:rPr>
          <w:rFonts w:hint="eastAsia" w:ascii="仿宋" w:hAnsi="仿宋" w:eastAsia="仿宋"/>
          <w:sz w:val="30"/>
          <w:szCs w:val="30"/>
        </w:rPr>
      </w:pPr>
      <w:r>
        <w:rPr>
          <w:rFonts w:hint="eastAsia" w:ascii="仿宋" w:hAnsi="仿宋" w:eastAsia="仿宋"/>
          <w:sz w:val="30"/>
          <w:szCs w:val="30"/>
        </w:rPr>
        <w:t>12.完成县委、县政府和县自然资源局交办的其它工作任务。</w:t>
      </w:r>
    </w:p>
    <w:p>
      <w:pPr>
        <w:ind w:firstLine="630"/>
        <w:jc w:val="left"/>
        <w:rPr>
          <w:rFonts w:hint="eastAsia" w:ascii="仿宋" w:hAnsi="仿宋" w:eastAsia="仿宋"/>
          <w:sz w:val="30"/>
          <w:szCs w:val="30"/>
        </w:rPr>
      </w:pPr>
      <w:r>
        <w:rPr>
          <w:rFonts w:hint="eastAsia" w:ascii="仿宋" w:hAnsi="仿宋" w:eastAsia="仿宋"/>
          <w:sz w:val="30"/>
          <w:szCs w:val="30"/>
        </w:rPr>
        <w:t>13.交叉职责划分</w:t>
      </w:r>
    </w:p>
    <w:p>
      <w:pPr>
        <w:ind w:firstLine="630"/>
        <w:jc w:val="left"/>
        <w:rPr>
          <w:rFonts w:hint="eastAsia" w:ascii="仿宋" w:hAnsi="仿宋" w:eastAsia="仿宋"/>
          <w:sz w:val="30"/>
          <w:szCs w:val="30"/>
        </w:rPr>
      </w:pPr>
      <w:r>
        <w:rPr>
          <w:rFonts w:hint="eastAsia" w:ascii="仿宋" w:hAnsi="仿宋" w:eastAsia="仿宋"/>
          <w:sz w:val="30"/>
          <w:szCs w:val="30"/>
        </w:rPr>
        <w:t>（1）与县自然资源局的有关职责分工。县林业局负责组织开展森林、湿地、草地、荒漠和陆生野生动植物资源动态监测与评价。县自然资源局负责森林、湿地等资源调查和确权登记管理。</w:t>
      </w:r>
    </w:p>
    <w:p>
      <w:pPr>
        <w:ind w:firstLine="630"/>
        <w:jc w:val="left"/>
        <w:rPr>
          <w:rFonts w:hint="eastAsia" w:ascii="仿宋" w:hAnsi="仿宋" w:eastAsia="仿宋"/>
          <w:sz w:val="30"/>
          <w:szCs w:val="30"/>
        </w:rPr>
      </w:pPr>
      <w:r>
        <w:rPr>
          <w:rFonts w:hint="eastAsia" w:ascii="仿宋" w:hAnsi="仿宋" w:eastAsia="仿宋"/>
          <w:sz w:val="30"/>
          <w:szCs w:val="30"/>
        </w:rPr>
        <w:t>（2）与县应急管理局的有关职责分工。县林业局负责指导开展防火巡护、火源管理、防火设施建设等工作。县应急管理局负责森林火情监测预警和信息发布，组织、指导、协调火灾扑救、调查评估和处理等工作。</w:t>
      </w:r>
    </w:p>
    <w:p>
      <w:pPr>
        <w:ind w:firstLine="630"/>
        <w:jc w:val="left"/>
        <w:rPr>
          <w:rFonts w:hint="eastAsia" w:ascii="仿宋" w:hAnsi="仿宋" w:eastAsia="仿宋"/>
          <w:sz w:val="30"/>
          <w:szCs w:val="30"/>
        </w:rPr>
      </w:pPr>
      <w:r>
        <w:rPr>
          <w:rFonts w:hint="eastAsia" w:ascii="仿宋" w:hAnsi="仿宋" w:eastAsia="仿宋"/>
          <w:sz w:val="30"/>
          <w:szCs w:val="30"/>
        </w:rPr>
        <w:t>根据2018年机构改革统一部署和要求，我局的机构和职能已进行调整和优化：</w:t>
      </w:r>
    </w:p>
    <w:p>
      <w:pPr>
        <w:ind w:firstLine="630"/>
        <w:jc w:val="left"/>
        <w:rPr>
          <w:rFonts w:hint="eastAsia" w:ascii="仿宋" w:hAnsi="仿宋" w:eastAsia="仿宋"/>
          <w:sz w:val="30"/>
          <w:szCs w:val="30"/>
        </w:rPr>
      </w:pPr>
      <w:r>
        <w:rPr>
          <w:rFonts w:hint="eastAsia" w:ascii="仿宋" w:hAnsi="仿宋" w:eastAsia="仿宋"/>
          <w:sz w:val="30"/>
          <w:szCs w:val="30"/>
        </w:rPr>
        <w:t>1.划入的职责：</w:t>
      </w:r>
    </w:p>
    <w:p>
      <w:pPr>
        <w:ind w:firstLine="630"/>
        <w:jc w:val="left"/>
        <w:rPr>
          <w:rFonts w:hint="eastAsia" w:ascii="仿宋" w:hAnsi="仿宋" w:eastAsia="仿宋"/>
          <w:sz w:val="30"/>
          <w:szCs w:val="30"/>
        </w:rPr>
      </w:pPr>
      <w:r>
        <w:rPr>
          <w:rFonts w:hint="eastAsia" w:ascii="仿宋" w:hAnsi="仿宋" w:eastAsia="仿宋"/>
          <w:sz w:val="30"/>
          <w:szCs w:val="30"/>
        </w:rPr>
        <w:t>原县国土资源局、原县城乡规划建设局、县水利局、原县农业和粮食局等部门的自然保护区、风景名胜区、自然遗产、地质公园等相关管理职责，以及县林业产权交易中心的行政职能。</w:t>
      </w:r>
    </w:p>
    <w:p>
      <w:pPr>
        <w:ind w:firstLine="630"/>
        <w:jc w:val="left"/>
        <w:rPr>
          <w:rFonts w:hint="eastAsia" w:ascii="仿宋" w:hAnsi="仿宋" w:eastAsia="仿宋"/>
          <w:sz w:val="30"/>
          <w:szCs w:val="30"/>
        </w:rPr>
      </w:pPr>
      <w:r>
        <w:rPr>
          <w:rFonts w:hint="eastAsia" w:ascii="仿宋" w:hAnsi="仿宋" w:eastAsia="仿宋"/>
          <w:sz w:val="30"/>
          <w:szCs w:val="30"/>
        </w:rPr>
        <w:t>2.划出的职责：</w:t>
      </w:r>
    </w:p>
    <w:p>
      <w:pPr>
        <w:ind w:firstLine="630"/>
        <w:jc w:val="left"/>
        <w:rPr>
          <w:rFonts w:hint="eastAsia" w:ascii="仿宋" w:hAnsi="仿宋" w:eastAsia="仿宋"/>
          <w:sz w:val="30"/>
          <w:szCs w:val="30"/>
        </w:rPr>
      </w:pPr>
      <w:r>
        <w:rPr>
          <w:rFonts w:hint="eastAsia" w:ascii="仿宋" w:hAnsi="仿宋" w:eastAsia="仿宋"/>
          <w:sz w:val="30"/>
          <w:szCs w:val="30"/>
        </w:rPr>
        <w:t>（1）森林、湿地等资源调查和确权登记（含山林权属纠纷的行政调解）管理职责。</w:t>
      </w:r>
    </w:p>
    <w:p>
      <w:pPr>
        <w:ind w:firstLine="630"/>
        <w:jc w:val="left"/>
        <w:rPr>
          <w:rFonts w:hint="eastAsia" w:ascii="仿宋" w:hAnsi="仿宋" w:eastAsia="仿宋"/>
          <w:sz w:val="30"/>
          <w:szCs w:val="30"/>
        </w:rPr>
      </w:pPr>
      <w:r>
        <w:rPr>
          <w:rFonts w:hint="eastAsia" w:ascii="仿宋" w:hAnsi="仿宋" w:eastAsia="仿宋"/>
          <w:sz w:val="30"/>
          <w:szCs w:val="30"/>
        </w:rPr>
        <w:t>（2）森林防火相关职责。</w:t>
      </w:r>
    </w:p>
    <w:p>
      <w:pPr>
        <w:ind w:firstLine="630"/>
        <w:jc w:val="left"/>
        <w:rPr>
          <w:rFonts w:hint="eastAsia" w:ascii="黑体" w:hAnsi="黑体" w:eastAsia="黑体"/>
          <w:sz w:val="30"/>
          <w:szCs w:val="30"/>
        </w:rPr>
      </w:pPr>
      <w:r>
        <w:rPr>
          <w:rFonts w:hint="eastAsia" w:ascii="黑体" w:hAnsi="黑体" w:eastAsia="黑体"/>
          <w:sz w:val="30"/>
          <w:szCs w:val="30"/>
        </w:rPr>
        <w:t>二、部门基本情况</w:t>
      </w:r>
    </w:p>
    <w:p>
      <w:pPr>
        <w:ind w:firstLine="630"/>
        <w:jc w:val="left"/>
        <w:rPr>
          <w:rFonts w:hint="eastAsia" w:ascii="仿宋" w:hAnsi="仿宋" w:eastAsia="仿宋"/>
          <w:sz w:val="30"/>
          <w:szCs w:val="30"/>
        </w:rPr>
      </w:pPr>
      <w:r>
        <w:rPr>
          <w:rFonts w:hint="eastAsia" w:ascii="仿宋" w:hAnsi="仿宋" w:eastAsia="仿宋"/>
          <w:sz w:val="30"/>
          <w:szCs w:val="30"/>
        </w:rPr>
        <w:t>纳入本套部门决算汇编范围的单位共4个，包括：林业局内设机构（分别是：办公室、森林资源管理股、造林林业产业发展股、计划财务审计股、防火股）、县林业技术推广中心（包括原县林业基地管理站、县林业技术推广站、县林业有害生物防治检疫站、绿化办）、县林政管理稽查大队（包括原县林政稽查大队、县木材检查站）、</w:t>
      </w:r>
      <w:r>
        <w:rPr>
          <w:rFonts w:hint="eastAsia" w:ascii="仿宋" w:hAnsi="仿宋" w:eastAsia="仿宋"/>
          <w:sz w:val="30"/>
          <w:szCs w:val="30"/>
          <w:lang w:val="en-US" w:eastAsia="zh-CN"/>
        </w:rPr>
        <w:t>25个</w:t>
      </w:r>
      <w:r>
        <w:rPr>
          <w:rFonts w:hint="eastAsia" w:ascii="仿宋" w:hAnsi="仿宋" w:eastAsia="仿宋"/>
          <w:sz w:val="30"/>
          <w:szCs w:val="30"/>
          <w:lang w:eastAsia="zh-CN"/>
        </w:rPr>
        <w:t>乡镇</w:t>
      </w:r>
      <w:r>
        <w:rPr>
          <w:rFonts w:hint="eastAsia" w:ascii="仿宋" w:hAnsi="仿宋" w:eastAsia="仿宋"/>
          <w:sz w:val="30"/>
          <w:szCs w:val="30"/>
        </w:rPr>
        <w:t>林业工作站。下设财务独立核算单位3个：兴国县均福山森林公园管理局、兴国县园岭森林公园管理局、江西潋江湿地公园管理局。</w:t>
      </w:r>
    </w:p>
    <w:p>
      <w:pPr>
        <w:widowControl/>
        <w:tabs>
          <w:tab w:val="left" w:pos="3150"/>
        </w:tabs>
        <w:spacing w:line="600" w:lineRule="exact"/>
        <w:ind w:firstLine="640"/>
        <w:jc w:val="both"/>
        <w:rPr>
          <w:rFonts w:hint="eastAsia" w:ascii="仿宋" w:hAnsi="仿宋" w:eastAsia="仿宋"/>
          <w:sz w:val="30"/>
          <w:szCs w:val="30"/>
        </w:rPr>
      </w:pPr>
      <w:r>
        <w:rPr>
          <w:rFonts w:hint="eastAsia" w:ascii="仿宋" w:hAnsi="仿宋" w:eastAsia="仿宋"/>
          <w:sz w:val="30"/>
          <w:szCs w:val="30"/>
        </w:rPr>
        <w:t>本部门2020年年末实有人数</w:t>
      </w:r>
      <w:r>
        <w:rPr>
          <w:rFonts w:hint="eastAsia" w:ascii="仿宋" w:hAnsi="仿宋" w:eastAsia="仿宋"/>
          <w:sz w:val="30"/>
          <w:szCs w:val="30"/>
          <w:lang w:val="en-US" w:eastAsia="zh-CN"/>
        </w:rPr>
        <w:t>322</w:t>
      </w:r>
      <w:r>
        <w:rPr>
          <w:rFonts w:hint="eastAsia" w:ascii="仿宋" w:hAnsi="仿宋" w:eastAsia="仿宋"/>
          <w:sz w:val="30"/>
          <w:szCs w:val="30"/>
        </w:rPr>
        <w:t>人，其中在职人员</w:t>
      </w:r>
      <w:r>
        <w:rPr>
          <w:rFonts w:hint="eastAsia" w:ascii="仿宋" w:hAnsi="仿宋" w:eastAsia="仿宋"/>
          <w:sz w:val="30"/>
          <w:szCs w:val="30"/>
          <w:lang w:val="en-US" w:eastAsia="zh-CN"/>
        </w:rPr>
        <w:t>201</w:t>
      </w:r>
      <w:r>
        <w:rPr>
          <w:rFonts w:hint="eastAsia" w:ascii="仿宋" w:hAnsi="仿宋" w:eastAsia="仿宋"/>
          <w:sz w:val="30"/>
          <w:szCs w:val="30"/>
        </w:rPr>
        <w:t>人</w:t>
      </w:r>
      <w:r>
        <w:rPr>
          <w:rFonts w:hint="eastAsia" w:ascii="仿宋" w:hAnsi="仿宋" w:eastAsia="仿宋"/>
          <w:sz w:val="30"/>
          <w:szCs w:val="30"/>
          <w:lang w:eastAsia="zh-CN"/>
        </w:rPr>
        <w:t>（其中已列编15</w:t>
      </w:r>
      <w:r>
        <w:rPr>
          <w:rFonts w:hint="eastAsia" w:ascii="仿宋" w:hAnsi="仿宋" w:eastAsia="仿宋"/>
          <w:sz w:val="30"/>
          <w:szCs w:val="30"/>
          <w:lang w:val="en-US" w:eastAsia="zh-CN"/>
        </w:rPr>
        <w:t>8</w:t>
      </w:r>
      <w:r>
        <w:rPr>
          <w:rFonts w:hint="eastAsia" w:ascii="仿宋" w:hAnsi="仿宋" w:eastAsia="仿宋"/>
          <w:sz w:val="30"/>
          <w:szCs w:val="30"/>
          <w:lang w:eastAsia="zh-CN"/>
        </w:rPr>
        <w:t>人、未列编4</w:t>
      </w:r>
      <w:r>
        <w:rPr>
          <w:rFonts w:hint="eastAsia" w:ascii="仿宋" w:hAnsi="仿宋" w:eastAsia="仿宋"/>
          <w:sz w:val="30"/>
          <w:szCs w:val="30"/>
          <w:lang w:val="en-US" w:eastAsia="zh-CN"/>
        </w:rPr>
        <w:t>3</w:t>
      </w:r>
      <w:r>
        <w:rPr>
          <w:rFonts w:hint="eastAsia" w:ascii="仿宋" w:hAnsi="仿宋" w:eastAsia="仿宋"/>
          <w:sz w:val="30"/>
          <w:szCs w:val="30"/>
          <w:lang w:eastAsia="zh-CN"/>
        </w:rPr>
        <w:t>人）</w:t>
      </w:r>
      <w:r>
        <w:rPr>
          <w:rFonts w:hint="eastAsia" w:ascii="仿宋" w:hAnsi="仿宋" w:eastAsia="仿宋"/>
          <w:sz w:val="30"/>
          <w:szCs w:val="30"/>
        </w:rPr>
        <w:t>，离休人员</w:t>
      </w:r>
      <w:r>
        <w:rPr>
          <w:rFonts w:hint="eastAsia" w:ascii="仿宋" w:hAnsi="仿宋" w:eastAsia="仿宋"/>
          <w:sz w:val="30"/>
          <w:szCs w:val="30"/>
          <w:lang w:val="en-US" w:eastAsia="zh-CN"/>
        </w:rPr>
        <w:t>0</w:t>
      </w:r>
      <w:r>
        <w:rPr>
          <w:rFonts w:hint="eastAsia" w:ascii="仿宋" w:hAnsi="仿宋" w:eastAsia="仿宋"/>
          <w:sz w:val="30"/>
          <w:szCs w:val="30"/>
        </w:rPr>
        <w:t>人，退休人员</w:t>
      </w:r>
      <w:r>
        <w:rPr>
          <w:rFonts w:hint="eastAsia" w:ascii="仿宋" w:hAnsi="仿宋" w:eastAsia="仿宋"/>
          <w:sz w:val="30"/>
          <w:szCs w:val="30"/>
          <w:lang w:val="en-US" w:eastAsia="zh-CN"/>
        </w:rPr>
        <w:t>121</w:t>
      </w:r>
      <w:r>
        <w:rPr>
          <w:rFonts w:hint="eastAsia" w:ascii="仿宋" w:hAnsi="仿宋" w:eastAsia="仿宋"/>
          <w:sz w:val="30"/>
          <w:szCs w:val="30"/>
        </w:rPr>
        <w:t>人。</w:t>
      </w:r>
    </w:p>
    <w:p>
      <w:pPr>
        <w:widowControl/>
        <w:tabs>
          <w:tab w:val="left" w:pos="3150"/>
        </w:tabs>
        <w:spacing w:line="600" w:lineRule="exact"/>
        <w:ind w:firstLine="640"/>
        <w:jc w:val="center"/>
        <w:rPr>
          <w:rFonts w:hint="eastAsia" w:ascii="宋体" w:hAnsi="宋体"/>
          <w:b/>
          <w:sz w:val="32"/>
          <w:szCs w:val="32"/>
        </w:rPr>
      </w:pPr>
    </w:p>
    <w:p>
      <w:pPr>
        <w:widowControl/>
        <w:tabs>
          <w:tab w:val="left" w:pos="3150"/>
        </w:tabs>
        <w:spacing w:line="600" w:lineRule="exact"/>
        <w:ind w:firstLine="640"/>
        <w:jc w:val="center"/>
        <w:rPr>
          <w:rFonts w:hint="eastAsia" w:ascii="宋体" w:hAnsi="宋体"/>
          <w:b/>
          <w:sz w:val="32"/>
          <w:szCs w:val="32"/>
        </w:rPr>
      </w:pPr>
    </w:p>
    <w:p>
      <w:pPr>
        <w:widowControl/>
        <w:tabs>
          <w:tab w:val="left" w:pos="3150"/>
        </w:tabs>
        <w:spacing w:line="600" w:lineRule="exact"/>
        <w:ind w:firstLine="640"/>
        <w:jc w:val="center"/>
        <w:rPr>
          <w:rFonts w:hint="eastAsia" w:ascii="宋体" w:hAnsi="宋体"/>
          <w:b/>
          <w:sz w:val="32"/>
          <w:szCs w:val="32"/>
        </w:rPr>
      </w:pPr>
    </w:p>
    <w:p>
      <w:pPr>
        <w:widowControl/>
        <w:tabs>
          <w:tab w:val="left" w:pos="3150"/>
        </w:tabs>
        <w:spacing w:line="600" w:lineRule="exact"/>
        <w:ind w:firstLine="640"/>
        <w:jc w:val="center"/>
        <w:rPr>
          <w:rFonts w:hint="eastAsia" w:ascii="宋体" w:hAnsi="宋体"/>
          <w:b/>
          <w:sz w:val="32"/>
          <w:szCs w:val="32"/>
        </w:rPr>
      </w:pPr>
    </w:p>
    <w:p>
      <w:pPr>
        <w:widowControl/>
        <w:tabs>
          <w:tab w:val="left" w:pos="3150"/>
        </w:tabs>
        <w:spacing w:line="600" w:lineRule="exact"/>
        <w:ind w:firstLine="640"/>
        <w:jc w:val="center"/>
        <w:rPr>
          <w:rFonts w:hint="eastAsia" w:ascii="宋体" w:hAnsi="宋体"/>
          <w:b/>
          <w:sz w:val="32"/>
          <w:szCs w:val="32"/>
        </w:rPr>
      </w:pPr>
    </w:p>
    <w:p>
      <w:pPr>
        <w:widowControl/>
        <w:tabs>
          <w:tab w:val="left" w:pos="3150"/>
        </w:tabs>
        <w:spacing w:line="600" w:lineRule="exact"/>
        <w:ind w:firstLine="640"/>
        <w:jc w:val="center"/>
        <w:rPr>
          <w:rFonts w:hint="eastAsia" w:ascii="宋体" w:hAnsi="宋体"/>
          <w:b/>
          <w:sz w:val="32"/>
          <w:szCs w:val="32"/>
        </w:rPr>
      </w:pPr>
    </w:p>
    <w:p>
      <w:pPr>
        <w:widowControl/>
        <w:tabs>
          <w:tab w:val="left" w:pos="3150"/>
        </w:tabs>
        <w:spacing w:line="600" w:lineRule="exact"/>
        <w:ind w:firstLine="640"/>
        <w:jc w:val="center"/>
        <w:rPr>
          <w:rFonts w:hint="eastAsia" w:ascii="宋体" w:hAnsi="宋体"/>
          <w:b/>
          <w:sz w:val="32"/>
          <w:szCs w:val="32"/>
        </w:rPr>
      </w:pPr>
    </w:p>
    <w:p>
      <w:pPr>
        <w:widowControl/>
        <w:tabs>
          <w:tab w:val="left" w:pos="3150"/>
        </w:tabs>
        <w:spacing w:line="600" w:lineRule="exact"/>
        <w:ind w:firstLine="640"/>
        <w:jc w:val="center"/>
        <w:rPr>
          <w:rFonts w:hint="eastAsia" w:ascii="宋体" w:hAnsi="宋体"/>
          <w:b/>
          <w:sz w:val="32"/>
          <w:szCs w:val="32"/>
        </w:rPr>
      </w:pPr>
    </w:p>
    <w:p>
      <w:pPr>
        <w:widowControl/>
        <w:tabs>
          <w:tab w:val="left" w:pos="3150"/>
        </w:tabs>
        <w:spacing w:line="600" w:lineRule="exact"/>
        <w:ind w:firstLine="640"/>
        <w:jc w:val="center"/>
        <w:rPr>
          <w:rFonts w:hint="eastAsia" w:ascii="宋体" w:hAnsi="宋体"/>
          <w:b/>
          <w:sz w:val="32"/>
          <w:szCs w:val="32"/>
        </w:rPr>
      </w:pPr>
    </w:p>
    <w:p>
      <w:pPr>
        <w:widowControl/>
        <w:tabs>
          <w:tab w:val="left" w:pos="3150"/>
        </w:tabs>
        <w:spacing w:line="600" w:lineRule="exact"/>
        <w:ind w:firstLine="640"/>
        <w:jc w:val="center"/>
        <w:rPr>
          <w:rFonts w:hint="eastAsia" w:ascii="宋体" w:hAnsi="宋体"/>
          <w:b/>
          <w:sz w:val="32"/>
          <w:szCs w:val="32"/>
        </w:rPr>
      </w:pPr>
    </w:p>
    <w:p>
      <w:pPr>
        <w:widowControl/>
        <w:tabs>
          <w:tab w:val="left" w:pos="3150"/>
        </w:tabs>
        <w:spacing w:line="600" w:lineRule="exact"/>
        <w:ind w:firstLine="640"/>
        <w:jc w:val="center"/>
        <w:rPr>
          <w:rFonts w:hint="eastAsia" w:ascii="宋体" w:hAnsi="宋体"/>
          <w:b/>
          <w:sz w:val="32"/>
          <w:szCs w:val="32"/>
        </w:rPr>
      </w:pPr>
    </w:p>
    <w:p>
      <w:pPr>
        <w:widowControl/>
        <w:tabs>
          <w:tab w:val="left" w:pos="3150"/>
        </w:tabs>
        <w:spacing w:line="600" w:lineRule="exact"/>
        <w:ind w:firstLine="640"/>
        <w:jc w:val="center"/>
        <w:rPr>
          <w:rFonts w:hint="eastAsia" w:ascii="宋体" w:hAnsi="宋体"/>
          <w:b/>
          <w:sz w:val="32"/>
          <w:szCs w:val="32"/>
        </w:rPr>
      </w:pPr>
    </w:p>
    <w:p>
      <w:pPr>
        <w:widowControl/>
        <w:tabs>
          <w:tab w:val="left" w:pos="3150"/>
        </w:tabs>
        <w:spacing w:line="600" w:lineRule="exact"/>
        <w:ind w:firstLine="640"/>
        <w:jc w:val="center"/>
        <w:rPr>
          <w:rFonts w:hint="eastAsia" w:ascii="宋体" w:hAnsi="宋体"/>
          <w:b/>
          <w:sz w:val="32"/>
          <w:szCs w:val="32"/>
        </w:rPr>
      </w:pPr>
    </w:p>
    <w:p>
      <w:pPr>
        <w:widowControl/>
        <w:tabs>
          <w:tab w:val="left" w:pos="3150"/>
        </w:tabs>
        <w:spacing w:line="600" w:lineRule="exact"/>
        <w:ind w:firstLine="640"/>
        <w:jc w:val="center"/>
        <w:rPr>
          <w:rFonts w:hint="eastAsia" w:ascii="宋体" w:hAnsi="宋体"/>
          <w:b/>
          <w:sz w:val="32"/>
          <w:szCs w:val="32"/>
        </w:rPr>
      </w:pPr>
    </w:p>
    <w:p>
      <w:pPr>
        <w:widowControl/>
        <w:tabs>
          <w:tab w:val="left" w:pos="3150"/>
        </w:tabs>
        <w:spacing w:line="600" w:lineRule="exact"/>
        <w:jc w:val="both"/>
        <w:rPr>
          <w:rFonts w:hint="eastAsia" w:ascii="宋体" w:hAnsi="宋体"/>
          <w:b/>
          <w:sz w:val="32"/>
          <w:szCs w:val="32"/>
        </w:rPr>
      </w:pPr>
    </w:p>
    <w:p>
      <w:pPr>
        <w:widowControl/>
        <w:tabs>
          <w:tab w:val="left" w:pos="3150"/>
        </w:tabs>
        <w:spacing w:line="600" w:lineRule="exact"/>
        <w:jc w:val="center"/>
      </w:pPr>
      <w:r>
        <w:rPr>
          <w:rFonts w:hint="eastAsia" w:ascii="宋体" w:hAnsi="宋体"/>
          <w:b/>
          <w:sz w:val="32"/>
          <w:szCs w:val="32"/>
        </w:rPr>
        <w:t>第二部分  2020年度部门决算表</w:t>
      </w:r>
    </w:p>
    <w:p>
      <w:r>
        <w:object>
          <v:shape id="_x0000_i1026" o:spt="75" type="#_x0000_t75" style="height:556.65pt;width:481.25pt;" o:ole="t" filled="f" o:preferrelative="t" stroked="f" coordsize="21600,21600">
            <v:path/>
            <v:fill on="f" focussize="0,0"/>
            <v:stroke on="f"/>
            <v:imagedata r:id="rId5" o:title=""/>
            <o:lock v:ext="edit" aspectratio="f"/>
            <w10:wrap type="none"/>
            <w10:anchorlock/>
          </v:shape>
          <o:OLEObject Type="Embed" ProgID="Excel.Sheet.8" ShapeID="_x0000_i1026" DrawAspect="Content" ObjectID="_1468075725" r:id="rId4">
            <o:LockedField>false</o:LockedField>
          </o:OLEObject>
        </w:object>
      </w:r>
    </w:p>
    <w:p>
      <w:pPr>
        <w:rPr>
          <w:rFonts w:hint="eastAsia"/>
          <w:lang w:eastAsia="zh-CN"/>
        </w:rPr>
      </w:pPr>
      <w:r>
        <w:rPr>
          <w:rFonts w:hint="eastAsia"/>
          <w:lang w:eastAsia="zh-CN"/>
        </w:rPr>
        <w:object>
          <v:shape id="_x0000_i1027" o:spt="75" type="#_x0000_t75" style="height:461.8pt;width:487pt;" o:ole="t" filled="f" o:preferrelative="t" stroked="f" coordsize="21600,21600">
            <v:path/>
            <v:fill on="f" focussize="0,0"/>
            <v:stroke on="f"/>
            <v:imagedata r:id="rId7" o:title=""/>
            <o:lock v:ext="edit" aspectratio="f"/>
            <w10:wrap type="none"/>
            <w10:anchorlock/>
          </v:shape>
          <o:OLEObject Type="Embed" ProgID="Excel.Sheet.8" ShapeID="_x0000_i1027" DrawAspect="Content" ObjectID="_1468075726" r:id="rId6">
            <o:LockedField>false</o:LockedField>
          </o:OLEObject>
        </w:object>
      </w:r>
    </w:p>
    <w:p>
      <w:pPr>
        <w:rPr>
          <w:rFonts w:hint="eastAsia"/>
          <w:lang w:eastAsia="zh-CN"/>
        </w:rPr>
      </w:pPr>
      <w:r>
        <w:rPr>
          <w:rFonts w:hint="eastAsia"/>
          <w:lang w:eastAsia="zh-CN"/>
        </w:rPr>
        <w:object>
          <v:shape id="_x0000_i1028" o:spt="75" type="#_x0000_t75" style="height:380.45pt;width:487.3pt;" o:ole="t" filled="f" o:preferrelative="t" stroked="f" coordsize="21600,21600">
            <v:path/>
            <v:fill on="f" focussize="0,0"/>
            <v:stroke on="f"/>
            <v:imagedata r:id="rId9" o:title=""/>
            <o:lock v:ext="edit" aspectratio="f"/>
            <w10:wrap type="none"/>
            <w10:anchorlock/>
          </v:shape>
          <o:OLEObject Type="Embed" ProgID="Excel.Sheet.8" ShapeID="_x0000_i1028" DrawAspect="Content" ObjectID="_1468075727" r:id="rId8">
            <o:LockedField>false</o:LockedField>
          </o:OLEObject>
        </w:object>
      </w:r>
    </w:p>
    <w:p>
      <w:pPr>
        <w:rPr>
          <w:rFonts w:hint="eastAsia"/>
          <w:lang w:eastAsia="zh-CN"/>
        </w:rPr>
      </w:pPr>
      <w:r>
        <w:rPr>
          <w:rFonts w:hint="eastAsia"/>
          <w:lang w:eastAsia="zh-CN"/>
        </w:rPr>
        <w:object>
          <v:shape id="_x0000_i1029" o:spt="75" type="#_x0000_t75" style="height:317.75pt;width:486.55pt;" o:ole="t" filled="f" o:preferrelative="t" stroked="f" coordsize="21600,21600">
            <v:path/>
            <v:fill on="f" focussize="0,0"/>
            <v:stroke on="f"/>
            <v:imagedata r:id="rId11" o:title=""/>
            <o:lock v:ext="edit" aspectratio="f"/>
            <w10:wrap type="none"/>
            <w10:anchorlock/>
          </v:shape>
          <o:OLEObject Type="Embed" ProgID="Excel.Sheet.8" ShapeID="_x0000_i1029" DrawAspect="Content" ObjectID="_1468075728" r:id="rId10">
            <o:LockedField>false</o:LockedField>
          </o:OLEObject>
        </w:object>
      </w:r>
    </w:p>
    <w:p>
      <w:pPr>
        <w:rPr>
          <w:rFonts w:hint="eastAsia"/>
          <w:lang w:eastAsia="zh-CN"/>
        </w:rPr>
      </w:pPr>
      <w:r>
        <w:rPr>
          <w:rFonts w:hint="eastAsia"/>
          <w:lang w:eastAsia="zh-CN"/>
        </w:rPr>
        <w:object>
          <v:shape id="_x0000_i1030" o:spt="75" type="#_x0000_t75" style="height:555.55pt;width:487.25pt;" o:ole="t" filled="f" o:preferrelative="t" stroked="f" coordsize="21600,21600">
            <v:path/>
            <v:fill on="f" focussize="0,0"/>
            <v:stroke on="f"/>
            <v:imagedata r:id="rId13" o:title=""/>
            <o:lock v:ext="edit" aspectratio="f"/>
            <w10:wrap type="none"/>
            <w10:anchorlock/>
          </v:shape>
          <o:OLEObject Type="Embed" ProgID="Excel.Sheet.8" ShapeID="_x0000_i1030" DrawAspect="Content" ObjectID="_1468075729" r:id="rId12">
            <o:LockedField>false</o:LockedField>
          </o:OLEObject>
        </w:object>
      </w:r>
    </w:p>
    <w:p>
      <w:pPr>
        <w:rPr>
          <w:rFonts w:hint="eastAsia"/>
          <w:lang w:eastAsia="zh-CN"/>
        </w:rPr>
      </w:pPr>
      <w:r>
        <w:rPr>
          <w:rFonts w:hint="eastAsia"/>
          <w:lang w:eastAsia="zh-CN"/>
        </w:rPr>
        <w:object>
          <v:shape id="_x0000_i1031" o:spt="75" type="#_x0000_t75" style="height:686.45pt;width:486.75pt;" o:ole="t" filled="f" o:preferrelative="t" stroked="f" coordsize="21600,21600">
            <v:path/>
            <v:fill on="f" focussize="0,0"/>
            <v:stroke on="f"/>
            <v:imagedata r:id="rId15" o:title=""/>
            <o:lock v:ext="edit" aspectratio="f"/>
            <w10:wrap type="none"/>
            <w10:anchorlock/>
          </v:shape>
          <o:OLEObject Type="Embed" ProgID="Excel.Sheet.8" ShapeID="_x0000_i1031" DrawAspect="Content" ObjectID="_1468075730" r:id="rId14">
            <o:LockedField>false</o:LockedField>
          </o:OLEObject>
        </w:object>
      </w:r>
    </w:p>
    <w:p>
      <w:pPr>
        <w:rPr>
          <w:rFonts w:hint="eastAsia"/>
          <w:lang w:eastAsia="zh-CN"/>
        </w:rPr>
      </w:pPr>
      <w:r>
        <w:rPr>
          <w:rFonts w:hint="eastAsia"/>
          <w:lang w:eastAsia="zh-CN"/>
        </w:rPr>
        <w:object>
          <v:shape id="_x0000_i1033" o:spt="75" type="#_x0000_t75" style="height:435.15pt;width:486.9pt;" o:ole="t" filled="f" o:preferrelative="t" stroked="f" coordsize="21600,21600">
            <v:path/>
            <v:fill on="f" focussize="0,0"/>
            <v:stroke on="f"/>
            <v:imagedata r:id="rId17" o:title=""/>
            <o:lock v:ext="edit" aspectratio="f"/>
            <w10:wrap type="none"/>
            <w10:anchorlock/>
          </v:shape>
          <o:OLEObject Type="Embed" ProgID="Excel.Sheet.8" ShapeID="_x0000_i1033" DrawAspect="Content" ObjectID="_1468075731" r:id="rId16">
            <o:LockedField>false</o:LockedField>
          </o:OLEObject>
        </w:object>
      </w:r>
    </w:p>
    <w:p>
      <w:pPr>
        <w:rPr>
          <w:rFonts w:hint="eastAsia"/>
          <w:lang w:eastAsia="zh-CN"/>
        </w:rPr>
      </w:pPr>
    </w:p>
    <w:p>
      <w:pPr>
        <w:rPr>
          <w:rFonts w:hint="eastAsia"/>
          <w:lang w:eastAsia="zh-CN"/>
        </w:rPr>
      </w:pPr>
      <w:r>
        <w:rPr>
          <w:rFonts w:hint="eastAsia"/>
          <w:lang w:eastAsia="zh-CN"/>
        </w:rPr>
        <w:object>
          <v:shape id="_x0000_i1034" o:spt="75" type="#_x0000_t75" style="height:186.7pt;width:486.75pt;" o:ole="t" filled="f" o:preferrelative="t" stroked="f" coordsize="21600,21600">
            <v:path/>
            <v:fill on="f" focussize="0,0"/>
            <v:stroke on="f"/>
            <v:imagedata r:id="rId19" o:title=""/>
            <o:lock v:ext="edit" aspectratio="f"/>
            <w10:wrap type="none"/>
            <w10:anchorlock/>
          </v:shape>
          <o:OLEObject Type="Embed" ProgID="Excel.Sheet.8" ShapeID="_x0000_i1034" DrawAspect="Content" ObjectID="_1468075732" r:id="rId18">
            <o:LockedField>false</o:LockedField>
          </o:OLEObject>
        </w:object>
      </w:r>
    </w:p>
    <w:p>
      <w:pPr>
        <w:rPr>
          <w:rFonts w:hint="eastAsia"/>
          <w:lang w:eastAsia="zh-CN"/>
        </w:rPr>
      </w:pPr>
    </w:p>
    <w:p>
      <w:pPr>
        <w:rPr>
          <w:rFonts w:hint="eastAsia"/>
          <w:lang w:eastAsia="zh-CN"/>
        </w:rPr>
      </w:pPr>
      <w:r>
        <w:rPr>
          <w:rFonts w:hint="eastAsia"/>
          <w:lang w:eastAsia="zh-CN"/>
        </w:rPr>
        <w:object>
          <v:shape id="_x0000_i1035" o:spt="75" type="#_x0000_t75" style="height:160.35pt;width:487.25pt;" o:ole="t" filled="f" o:preferrelative="t" stroked="f" coordsize="21600,21600">
            <v:path/>
            <v:fill on="f" focussize="0,0"/>
            <v:stroke on="f"/>
            <v:imagedata r:id="rId21" o:title=""/>
            <o:lock v:ext="edit" aspectratio="f"/>
            <w10:wrap type="none"/>
            <w10:anchorlock/>
          </v:shape>
          <o:OLEObject Type="Embed" ProgID="Excel.Sheet.8" ShapeID="_x0000_i1035" DrawAspect="Content" ObjectID="_1468075733" r:id="rId20">
            <o:LockedField>false</o:LockedField>
          </o:OLEObject>
        </w:object>
      </w: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r>
        <w:rPr>
          <w:rFonts w:hint="eastAsia"/>
          <w:lang w:eastAsia="zh-CN"/>
        </w:rPr>
        <w:object>
          <v:shape id="_x0000_i1037" o:spt="75" alt="" type="#_x0000_t75" style="height:258pt;width:488.95pt;" o:ole="t" filled="f" o:preferrelative="t" stroked="f" coordsize="21600,21600">
            <v:path/>
            <v:fill on="f" focussize="0,0"/>
            <v:stroke on="f"/>
            <v:imagedata r:id="rId23" o:title=""/>
            <o:lock v:ext="edit" aspectratio="f"/>
            <w10:wrap type="none"/>
            <w10:anchorlock/>
          </v:shape>
          <o:OLEObject Type="Embed" ProgID="Excel.Sheet.8" ShapeID="_x0000_i1037" DrawAspect="Content" ObjectID="_1468075734" r:id="rId22">
            <o:LockedField>false</o:LockedField>
          </o:OLEObject>
        </w:object>
      </w: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widowControl/>
        <w:spacing w:line="600" w:lineRule="exact"/>
        <w:ind w:firstLine="640"/>
        <w:jc w:val="center"/>
        <w:rPr>
          <w:rFonts w:hint="eastAsia" w:ascii="宋体" w:hAnsi="宋体"/>
          <w:b/>
          <w:sz w:val="32"/>
          <w:szCs w:val="32"/>
        </w:rPr>
      </w:pPr>
      <w:r>
        <w:rPr>
          <w:rFonts w:hint="eastAsia" w:ascii="宋体" w:hAnsi="宋体"/>
          <w:b/>
          <w:sz w:val="32"/>
          <w:szCs w:val="32"/>
        </w:rPr>
        <w:t>第三部分  2020年度部门决算情况说明</w:t>
      </w:r>
    </w:p>
    <w:p>
      <w:pPr>
        <w:ind w:firstLine="630"/>
        <w:jc w:val="left"/>
        <w:rPr>
          <w:rFonts w:hint="eastAsia" w:ascii="仿宋" w:hAnsi="仿宋" w:eastAsia="仿宋"/>
          <w:sz w:val="30"/>
          <w:szCs w:val="30"/>
        </w:rPr>
      </w:pPr>
    </w:p>
    <w:p>
      <w:pPr>
        <w:ind w:firstLine="630"/>
        <w:jc w:val="left"/>
        <w:rPr>
          <w:rFonts w:hint="eastAsia" w:ascii="黑体" w:hAnsi="黑体" w:eastAsia="黑体"/>
          <w:sz w:val="30"/>
          <w:szCs w:val="30"/>
        </w:rPr>
      </w:pPr>
      <w:r>
        <w:rPr>
          <w:rFonts w:hint="eastAsia" w:ascii="黑体" w:hAnsi="黑体" w:eastAsia="黑体"/>
          <w:sz w:val="30"/>
          <w:szCs w:val="30"/>
        </w:rPr>
        <w:t>一、收入决算情况说明</w:t>
      </w:r>
    </w:p>
    <w:p>
      <w:pPr>
        <w:ind w:firstLine="630"/>
        <w:jc w:val="left"/>
        <w:rPr>
          <w:rFonts w:hint="eastAsia" w:ascii="仿宋" w:hAnsi="仿宋" w:eastAsia="仿宋"/>
          <w:sz w:val="30"/>
          <w:szCs w:val="30"/>
        </w:rPr>
      </w:pPr>
      <w:r>
        <w:rPr>
          <w:rFonts w:hint="eastAsia" w:ascii="仿宋" w:hAnsi="仿宋" w:eastAsia="仿宋"/>
          <w:sz w:val="30"/>
          <w:szCs w:val="30"/>
        </w:rPr>
        <w:t>本部门2020年度收入总计33040.67万元，其中年初结转和结余11567.05万元，较2019年增加3653.79万元，增长</w:t>
      </w:r>
      <w:r>
        <w:rPr>
          <w:rFonts w:hint="eastAsia" w:ascii="仿宋" w:hAnsi="仿宋" w:eastAsia="仿宋"/>
          <w:sz w:val="30"/>
          <w:szCs w:val="30"/>
          <w:lang w:val="en-US" w:eastAsia="zh-CN"/>
        </w:rPr>
        <w:t>12.43</w:t>
      </w:r>
      <w:r>
        <w:rPr>
          <w:rFonts w:hint="eastAsia" w:ascii="仿宋" w:hAnsi="仿宋" w:eastAsia="仿宋"/>
          <w:sz w:val="30"/>
          <w:szCs w:val="30"/>
        </w:rPr>
        <w:t>%；本年收入合计21473.62万元，较2019年增加5170万元，增长</w:t>
      </w:r>
      <w:r>
        <w:rPr>
          <w:rFonts w:hint="eastAsia" w:ascii="仿宋" w:hAnsi="仿宋" w:eastAsia="仿宋"/>
          <w:sz w:val="30"/>
          <w:szCs w:val="30"/>
          <w:lang w:val="en-US" w:eastAsia="zh-CN"/>
        </w:rPr>
        <w:t>31.71</w:t>
      </w:r>
      <w:r>
        <w:rPr>
          <w:rFonts w:hint="eastAsia" w:ascii="仿宋" w:hAnsi="仿宋" w:eastAsia="仿宋"/>
          <w:sz w:val="30"/>
          <w:szCs w:val="30"/>
        </w:rPr>
        <w:t>%，主要原因是：一般公共预算财政拨款收入较2019年增加3473.30万元，其他收入较2019年增加1696.70万元。</w:t>
      </w:r>
    </w:p>
    <w:p>
      <w:pPr>
        <w:ind w:firstLine="630"/>
        <w:jc w:val="left"/>
        <w:rPr>
          <w:rFonts w:hint="eastAsia" w:ascii="仿宋" w:hAnsi="仿宋" w:eastAsia="仿宋"/>
          <w:sz w:val="30"/>
          <w:szCs w:val="30"/>
        </w:rPr>
      </w:pPr>
      <w:r>
        <w:rPr>
          <w:rFonts w:hint="eastAsia" w:ascii="仿宋" w:hAnsi="仿宋" w:eastAsia="仿宋"/>
          <w:sz w:val="30"/>
          <w:szCs w:val="30"/>
        </w:rPr>
        <w:t>本年收入的具体构成为：财政拨款收入18884.34万元，占</w:t>
      </w:r>
      <w:r>
        <w:rPr>
          <w:rFonts w:hint="eastAsia" w:ascii="仿宋" w:hAnsi="仿宋" w:eastAsia="仿宋"/>
          <w:sz w:val="30"/>
          <w:szCs w:val="30"/>
          <w:lang w:val="en-US" w:eastAsia="zh-CN"/>
        </w:rPr>
        <w:t>87.94</w:t>
      </w:r>
      <w:r>
        <w:rPr>
          <w:rFonts w:hint="eastAsia" w:ascii="仿宋" w:hAnsi="仿宋" w:eastAsia="仿宋"/>
          <w:sz w:val="30"/>
          <w:szCs w:val="30"/>
        </w:rPr>
        <w:t>%；事业收入</w:t>
      </w:r>
      <w:r>
        <w:rPr>
          <w:rFonts w:hint="eastAsia" w:ascii="仿宋" w:hAnsi="仿宋" w:eastAsia="仿宋"/>
          <w:sz w:val="30"/>
          <w:szCs w:val="30"/>
          <w:lang w:val="en-US" w:eastAsia="zh-CN"/>
        </w:rPr>
        <w:t>0</w:t>
      </w:r>
      <w:r>
        <w:rPr>
          <w:rFonts w:hint="eastAsia" w:ascii="仿宋" w:hAnsi="仿宋" w:eastAsia="仿宋"/>
          <w:sz w:val="30"/>
          <w:szCs w:val="30"/>
        </w:rPr>
        <w:t>万元，占</w:t>
      </w:r>
      <w:r>
        <w:rPr>
          <w:rFonts w:hint="eastAsia" w:ascii="仿宋" w:hAnsi="仿宋" w:eastAsia="仿宋"/>
          <w:sz w:val="30"/>
          <w:szCs w:val="30"/>
          <w:lang w:val="en-US" w:eastAsia="zh-CN"/>
        </w:rPr>
        <w:t>0</w:t>
      </w:r>
      <w:r>
        <w:rPr>
          <w:rFonts w:hint="eastAsia" w:ascii="仿宋" w:hAnsi="仿宋" w:eastAsia="仿宋"/>
          <w:sz w:val="30"/>
          <w:szCs w:val="30"/>
        </w:rPr>
        <w:t>%；经营收入</w:t>
      </w:r>
      <w:r>
        <w:rPr>
          <w:rFonts w:hint="eastAsia" w:ascii="仿宋" w:hAnsi="仿宋" w:eastAsia="仿宋"/>
          <w:sz w:val="30"/>
          <w:szCs w:val="30"/>
          <w:lang w:val="en-US" w:eastAsia="zh-CN"/>
        </w:rPr>
        <w:t>0</w:t>
      </w:r>
      <w:r>
        <w:rPr>
          <w:rFonts w:hint="eastAsia" w:ascii="仿宋" w:hAnsi="仿宋" w:eastAsia="仿宋"/>
          <w:sz w:val="30"/>
          <w:szCs w:val="30"/>
        </w:rPr>
        <w:t>万元，占</w:t>
      </w:r>
      <w:r>
        <w:rPr>
          <w:rFonts w:hint="eastAsia" w:ascii="仿宋" w:hAnsi="仿宋" w:eastAsia="仿宋"/>
          <w:sz w:val="30"/>
          <w:szCs w:val="30"/>
          <w:lang w:val="en-US" w:eastAsia="zh-CN"/>
        </w:rPr>
        <w:t>0</w:t>
      </w:r>
      <w:r>
        <w:rPr>
          <w:rFonts w:hint="eastAsia" w:ascii="仿宋" w:hAnsi="仿宋" w:eastAsia="仿宋"/>
          <w:sz w:val="30"/>
          <w:szCs w:val="30"/>
        </w:rPr>
        <w:t>%；其他收入2589.28万元，占</w:t>
      </w:r>
      <w:r>
        <w:rPr>
          <w:rFonts w:hint="eastAsia" w:ascii="仿宋" w:hAnsi="仿宋" w:eastAsia="仿宋"/>
          <w:sz w:val="30"/>
          <w:szCs w:val="30"/>
          <w:lang w:val="en-US" w:eastAsia="zh-CN"/>
        </w:rPr>
        <w:t>12.06</w:t>
      </w:r>
      <w:r>
        <w:rPr>
          <w:rFonts w:hint="eastAsia" w:ascii="仿宋" w:hAnsi="仿宋" w:eastAsia="仿宋"/>
          <w:sz w:val="30"/>
          <w:szCs w:val="30"/>
        </w:rPr>
        <w:t xml:space="preserve">%。  </w:t>
      </w:r>
    </w:p>
    <w:p>
      <w:pPr>
        <w:ind w:firstLine="630"/>
        <w:jc w:val="left"/>
        <w:rPr>
          <w:rFonts w:hint="eastAsia" w:ascii="黑体" w:hAnsi="黑体" w:eastAsia="黑体"/>
          <w:sz w:val="30"/>
          <w:szCs w:val="30"/>
        </w:rPr>
      </w:pPr>
      <w:r>
        <w:rPr>
          <w:rFonts w:hint="eastAsia" w:ascii="黑体" w:hAnsi="黑体" w:eastAsia="黑体"/>
          <w:sz w:val="30"/>
          <w:szCs w:val="30"/>
        </w:rPr>
        <w:t>二、支出决算情况说明</w:t>
      </w:r>
    </w:p>
    <w:p>
      <w:pPr>
        <w:ind w:firstLine="630"/>
        <w:jc w:val="left"/>
        <w:rPr>
          <w:rFonts w:hint="eastAsia" w:ascii="仿宋" w:hAnsi="仿宋" w:eastAsia="仿宋"/>
          <w:sz w:val="30"/>
          <w:szCs w:val="30"/>
        </w:rPr>
      </w:pPr>
      <w:r>
        <w:rPr>
          <w:rFonts w:hint="eastAsia" w:ascii="仿宋" w:hAnsi="仿宋" w:eastAsia="仿宋"/>
          <w:sz w:val="30"/>
          <w:szCs w:val="30"/>
        </w:rPr>
        <w:t>本部门2020年度支出总计33040.67万元，其中本年支出合计19076.26万元，较2019年增加3653.79万元，增长</w:t>
      </w:r>
      <w:r>
        <w:rPr>
          <w:rFonts w:hint="eastAsia" w:ascii="仿宋" w:hAnsi="仿宋" w:eastAsia="仿宋"/>
          <w:sz w:val="30"/>
          <w:szCs w:val="30"/>
          <w:lang w:val="en-US" w:eastAsia="zh-CN"/>
        </w:rPr>
        <w:t>12.43</w:t>
      </w:r>
      <w:r>
        <w:rPr>
          <w:rFonts w:hint="eastAsia" w:ascii="仿宋" w:hAnsi="仿宋" w:eastAsia="仿宋"/>
          <w:sz w:val="30"/>
          <w:szCs w:val="30"/>
        </w:rPr>
        <w:t>%，主要原因是：</w:t>
      </w:r>
      <w:r>
        <w:rPr>
          <w:rFonts w:hint="eastAsia" w:ascii="仿宋" w:hAnsi="仿宋" w:eastAsia="仿宋"/>
          <w:sz w:val="30"/>
          <w:szCs w:val="30"/>
          <w:lang w:eastAsia="zh-CN"/>
        </w:rPr>
        <w:t>农林水支出</w:t>
      </w:r>
      <w:r>
        <w:rPr>
          <w:rFonts w:hint="eastAsia" w:ascii="仿宋" w:hAnsi="仿宋" w:eastAsia="仿宋"/>
          <w:sz w:val="30"/>
          <w:szCs w:val="30"/>
        </w:rPr>
        <w:t>较2019年增加8915.69万元；年末结转和结余13964.41万元，较2019年减少3762.35万元，下降</w:t>
      </w:r>
      <w:r>
        <w:rPr>
          <w:rFonts w:hint="eastAsia" w:ascii="仿宋" w:hAnsi="仿宋" w:eastAsia="仿宋"/>
          <w:sz w:val="30"/>
          <w:szCs w:val="30"/>
          <w:lang w:val="en-US" w:eastAsia="zh-CN"/>
        </w:rPr>
        <w:t>21.22</w:t>
      </w:r>
      <w:r>
        <w:rPr>
          <w:rFonts w:hint="eastAsia" w:ascii="仿宋" w:hAnsi="仿宋" w:eastAsia="仿宋"/>
          <w:sz w:val="30"/>
          <w:szCs w:val="30"/>
        </w:rPr>
        <w:t>%，主要原因是：</w:t>
      </w:r>
      <w:r>
        <w:rPr>
          <w:rFonts w:hint="eastAsia" w:ascii="仿宋" w:hAnsi="仿宋" w:eastAsia="仿宋"/>
          <w:sz w:val="30"/>
          <w:szCs w:val="30"/>
          <w:lang w:eastAsia="zh-CN"/>
        </w:rPr>
        <w:t>农林水支出</w:t>
      </w:r>
      <w:r>
        <w:rPr>
          <w:rFonts w:hint="eastAsia" w:ascii="仿宋" w:hAnsi="仿宋" w:eastAsia="仿宋"/>
          <w:sz w:val="30"/>
          <w:szCs w:val="30"/>
        </w:rPr>
        <w:t>较2019年</w:t>
      </w:r>
      <w:r>
        <w:rPr>
          <w:rFonts w:hint="eastAsia" w:ascii="仿宋" w:hAnsi="仿宋" w:eastAsia="仿宋"/>
          <w:sz w:val="30"/>
          <w:szCs w:val="30"/>
          <w:lang w:eastAsia="zh-CN"/>
        </w:rPr>
        <w:t>大幅</w:t>
      </w:r>
      <w:r>
        <w:rPr>
          <w:rFonts w:hint="eastAsia" w:ascii="仿宋" w:hAnsi="仿宋" w:eastAsia="仿宋"/>
          <w:sz w:val="30"/>
          <w:szCs w:val="30"/>
        </w:rPr>
        <w:t>增加</w:t>
      </w:r>
      <w:r>
        <w:rPr>
          <w:rFonts w:hint="eastAsia" w:ascii="仿宋" w:hAnsi="仿宋" w:eastAsia="仿宋"/>
          <w:sz w:val="30"/>
          <w:szCs w:val="30"/>
          <w:lang w:eastAsia="zh-CN"/>
        </w:rPr>
        <w:t>所造成</w:t>
      </w:r>
      <w:r>
        <w:rPr>
          <w:rFonts w:hint="eastAsia" w:ascii="仿宋" w:hAnsi="仿宋" w:eastAsia="仿宋"/>
          <w:sz w:val="30"/>
          <w:szCs w:val="30"/>
        </w:rPr>
        <w:t>。</w:t>
      </w:r>
    </w:p>
    <w:p>
      <w:pPr>
        <w:ind w:firstLine="630"/>
        <w:jc w:val="left"/>
        <w:rPr>
          <w:rFonts w:hint="eastAsia" w:ascii="仿宋" w:hAnsi="仿宋" w:eastAsia="仿宋"/>
          <w:sz w:val="30"/>
          <w:szCs w:val="30"/>
        </w:rPr>
      </w:pPr>
      <w:r>
        <w:rPr>
          <w:rFonts w:hint="eastAsia" w:ascii="仿宋" w:hAnsi="仿宋" w:eastAsia="仿宋"/>
          <w:sz w:val="30"/>
          <w:szCs w:val="30"/>
        </w:rPr>
        <w:t>本年支出的具体构成为：基本支出3434.94</w:t>
      </w:r>
      <w:r>
        <w:rPr>
          <w:rFonts w:hint="eastAsia" w:ascii="仿宋" w:hAnsi="仿宋" w:eastAsia="仿宋"/>
          <w:sz w:val="30"/>
          <w:szCs w:val="30"/>
        </w:rPr>
        <w:tab/>
      </w:r>
      <w:r>
        <w:rPr>
          <w:rFonts w:hint="eastAsia" w:ascii="仿宋" w:hAnsi="仿宋" w:eastAsia="仿宋"/>
          <w:sz w:val="30"/>
          <w:szCs w:val="30"/>
        </w:rPr>
        <w:t>万元，占</w:t>
      </w:r>
      <w:r>
        <w:rPr>
          <w:rFonts w:hint="eastAsia" w:ascii="仿宋" w:hAnsi="仿宋" w:eastAsia="仿宋"/>
          <w:sz w:val="30"/>
          <w:szCs w:val="30"/>
          <w:lang w:val="en-US" w:eastAsia="zh-CN"/>
        </w:rPr>
        <w:t>18.01</w:t>
      </w:r>
      <w:r>
        <w:rPr>
          <w:rFonts w:hint="eastAsia" w:ascii="仿宋" w:hAnsi="仿宋" w:eastAsia="仿宋"/>
          <w:sz w:val="30"/>
          <w:szCs w:val="30"/>
        </w:rPr>
        <w:t>%；项目支出15641.32万元，占</w:t>
      </w:r>
      <w:r>
        <w:rPr>
          <w:rFonts w:hint="eastAsia" w:ascii="仿宋" w:hAnsi="仿宋" w:eastAsia="仿宋"/>
          <w:sz w:val="30"/>
          <w:szCs w:val="30"/>
          <w:lang w:val="en-US" w:eastAsia="zh-CN"/>
        </w:rPr>
        <w:t>81.99</w:t>
      </w:r>
      <w:r>
        <w:rPr>
          <w:rFonts w:hint="eastAsia" w:ascii="仿宋" w:hAnsi="仿宋" w:eastAsia="仿宋"/>
          <w:sz w:val="30"/>
          <w:szCs w:val="30"/>
        </w:rPr>
        <w:t>%；经营支出</w:t>
      </w:r>
      <w:r>
        <w:rPr>
          <w:rFonts w:hint="eastAsia" w:ascii="仿宋" w:hAnsi="仿宋" w:eastAsia="仿宋"/>
          <w:sz w:val="30"/>
          <w:szCs w:val="30"/>
          <w:lang w:val="en-US" w:eastAsia="zh-CN"/>
        </w:rPr>
        <w:t>0</w:t>
      </w:r>
      <w:r>
        <w:rPr>
          <w:rFonts w:hint="eastAsia" w:ascii="仿宋" w:hAnsi="仿宋" w:eastAsia="仿宋"/>
          <w:sz w:val="30"/>
          <w:szCs w:val="30"/>
        </w:rPr>
        <w:t>万元，</w:t>
      </w:r>
      <w:r>
        <w:rPr>
          <w:rFonts w:hint="eastAsia" w:ascii="仿宋" w:hAnsi="仿宋" w:eastAsia="仿宋"/>
          <w:sz w:val="30"/>
          <w:szCs w:val="30"/>
          <w:lang w:val="en-US" w:eastAsia="zh-CN"/>
        </w:rPr>
        <w:t>0</w:t>
      </w:r>
      <w:r>
        <w:rPr>
          <w:rFonts w:hint="eastAsia" w:ascii="仿宋" w:hAnsi="仿宋" w:eastAsia="仿宋"/>
          <w:sz w:val="30"/>
          <w:szCs w:val="30"/>
        </w:rPr>
        <w:t>%；其他支出（对附属单位补助支出、上缴上级支出）</w:t>
      </w:r>
      <w:r>
        <w:rPr>
          <w:rFonts w:hint="eastAsia" w:ascii="仿宋" w:hAnsi="仿宋" w:eastAsia="仿宋"/>
          <w:sz w:val="30"/>
          <w:szCs w:val="30"/>
          <w:lang w:val="en-US" w:eastAsia="zh-CN"/>
        </w:rPr>
        <w:t>0</w:t>
      </w:r>
      <w:r>
        <w:rPr>
          <w:rFonts w:hint="eastAsia" w:ascii="仿宋" w:hAnsi="仿宋" w:eastAsia="仿宋"/>
          <w:sz w:val="30"/>
          <w:szCs w:val="30"/>
        </w:rPr>
        <w:t>万元，占</w:t>
      </w:r>
      <w:r>
        <w:rPr>
          <w:rFonts w:hint="eastAsia" w:ascii="仿宋" w:hAnsi="仿宋" w:eastAsia="仿宋"/>
          <w:sz w:val="30"/>
          <w:szCs w:val="30"/>
          <w:lang w:val="en-US" w:eastAsia="zh-CN"/>
        </w:rPr>
        <w:t>0</w:t>
      </w:r>
      <w:r>
        <w:rPr>
          <w:rFonts w:hint="eastAsia" w:ascii="仿宋" w:hAnsi="仿宋" w:eastAsia="仿宋"/>
          <w:sz w:val="30"/>
          <w:szCs w:val="30"/>
        </w:rPr>
        <w:t>%。</w:t>
      </w:r>
    </w:p>
    <w:p>
      <w:pPr>
        <w:ind w:firstLine="630"/>
        <w:jc w:val="left"/>
        <w:rPr>
          <w:rFonts w:hint="eastAsia" w:ascii="黑体" w:hAnsi="黑体" w:eastAsia="黑体"/>
          <w:sz w:val="30"/>
          <w:szCs w:val="30"/>
        </w:rPr>
      </w:pPr>
      <w:r>
        <w:rPr>
          <w:rFonts w:hint="eastAsia" w:ascii="黑体" w:hAnsi="黑体" w:eastAsia="黑体"/>
          <w:sz w:val="30"/>
          <w:szCs w:val="30"/>
        </w:rPr>
        <w:t>三、财政拨款支出决算情况说明</w:t>
      </w:r>
    </w:p>
    <w:p>
      <w:pPr>
        <w:ind w:firstLine="630"/>
        <w:jc w:val="left"/>
        <w:rPr>
          <w:rFonts w:hint="eastAsia" w:ascii="仿宋" w:hAnsi="仿宋" w:eastAsia="仿宋"/>
          <w:sz w:val="30"/>
          <w:szCs w:val="30"/>
        </w:rPr>
      </w:pPr>
      <w:r>
        <w:rPr>
          <w:rFonts w:hint="eastAsia" w:ascii="仿宋" w:hAnsi="仿宋" w:eastAsia="仿宋"/>
          <w:sz w:val="30"/>
          <w:szCs w:val="30"/>
        </w:rPr>
        <w:t>本部门2020年度财政拨款本年支出年初预算数为</w:t>
      </w:r>
      <w:r>
        <w:rPr>
          <w:rFonts w:hint="eastAsia" w:ascii="仿宋" w:hAnsi="仿宋" w:eastAsia="仿宋"/>
          <w:sz w:val="30"/>
          <w:szCs w:val="30"/>
          <w:lang w:val="en-US" w:eastAsia="zh-CN"/>
        </w:rPr>
        <w:t>6708.26</w:t>
      </w:r>
      <w:r>
        <w:rPr>
          <w:rFonts w:hint="eastAsia" w:ascii="仿宋" w:hAnsi="仿宋" w:eastAsia="仿宋"/>
          <w:sz w:val="30"/>
          <w:szCs w:val="30"/>
        </w:rPr>
        <w:t>万元，决算数为17500.14万元，完成年初预算的</w:t>
      </w:r>
      <w:r>
        <w:rPr>
          <w:rFonts w:hint="eastAsia" w:ascii="仿宋" w:hAnsi="仿宋" w:eastAsia="仿宋"/>
          <w:sz w:val="30"/>
          <w:szCs w:val="30"/>
          <w:lang w:val="en-US" w:eastAsia="zh-CN"/>
        </w:rPr>
        <w:t>260.87</w:t>
      </w:r>
      <w:r>
        <w:rPr>
          <w:rFonts w:hint="eastAsia" w:ascii="仿宋" w:hAnsi="仿宋" w:eastAsia="仿宋"/>
          <w:sz w:val="30"/>
          <w:szCs w:val="30"/>
        </w:rPr>
        <w:t>%。其中：</w:t>
      </w:r>
    </w:p>
    <w:p>
      <w:pPr>
        <w:ind w:firstLine="585"/>
        <w:jc w:val="left"/>
        <w:rPr>
          <w:rFonts w:hint="eastAsia" w:ascii="仿宋" w:hAnsi="仿宋" w:eastAsia="仿宋"/>
          <w:sz w:val="30"/>
          <w:szCs w:val="30"/>
        </w:rPr>
      </w:pPr>
      <w:r>
        <w:rPr>
          <w:rFonts w:hint="eastAsia" w:ascii="仿宋" w:hAnsi="仿宋" w:eastAsia="仿宋"/>
          <w:sz w:val="30"/>
          <w:szCs w:val="30"/>
        </w:rPr>
        <w:t>（一）社会保障和就业支出年初预算数为210.76万元，决算数为264.44万元，完成年初预算的125.47%，主要原因是：</w:t>
      </w:r>
      <w:r>
        <w:rPr>
          <w:rFonts w:hint="eastAsia" w:ascii="仿宋" w:hAnsi="仿宋" w:eastAsia="仿宋"/>
          <w:sz w:val="30"/>
          <w:szCs w:val="30"/>
          <w:lang w:eastAsia="zh-CN"/>
        </w:rPr>
        <w:t>公益性岗位补贴支出超过年初预算</w:t>
      </w:r>
      <w:r>
        <w:rPr>
          <w:rFonts w:hint="eastAsia" w:ascii="仿宋" w:hAnsi="仿宋" w:eastAsia="仿宋"/>
          <w:sz w:val="30"/>
          <w:szCs w:val="30"/>
        </w:rPr>
        <w:t>。</w:t>
      </w:r>
    </w:p>
    <w:p>
      <w:pPr>
        <w:ind w:firstLine="585"/>
        <w:jc w:val="left"/>
        <w:rPr>
          <w:rFonts w:hint="eastAsia" w:ascii="仿宋" w:hAnsi="仿宋" w:eastAsia="仿宋"/>
          <w:sz w:val="30"/>
          <w:szCs w:val="30"/>
        </w:rPr>
      </w:pPr>
      <w:r>
        <w:rPr>
          <w:rFonts w:hint="eastAsia" w:ascii="仿宋" w:hAnsi="仿宋" w:eastAsia="仿宋"/>
          <w:sz w:val="30"/>
          <w:szCs w:val="30"/>
        </w:rPr>
        <w:t>（二）卫生健康支出年初预算数为152.2万元，决算数为152.42万元，完成年初预算的</w:t>
      </w:r>
      <w:r>
        <w:rPr>
          <w:rFonts w:hint="eastAsia" w:ascii="仿宋" w:hAnsi="仿宋" w:eastAsia="仿宋"/>
          <w:sz w:val="30"/>
          <w:szCs w:val="30"/>
          <w:lang w:val="en-US" w:eastAsia="zh-CN"/>
        </w:rPr>
        <w:t>100.14</w:t>
      </w:r>
      <w:r>
        <w:rPr>
          <w:rFonts w:hint="eastAsia" w:ascii="仿宋" w:hAnsi="仿宋" w:eastAsia="仿宋"/>
          <w:sz w:val="30"/>
          <w:szCs w:val="30"/>
        </w:rPr>
        <w:t>%，主要原因是：</w:t>
      </w:r>
      <w:r>
        <w:rPr>
          <w:rFonts w:hint="eastAsia" w:ascii="仿宋" w:hAnsi="仿宋" w:eastAsia="仿宋"/>
          <w:sz w:val="30"/>
          <w:szCs w:val="30"/>
          <w:lang w:eastAsia="zh-CN"/>
        </w:rPr>
        <w:t>医疗补助超过年初预算</w:t>
      </w:r>
      <w:r>
        <w:rPr>
          <w:rFonts w:hint="eastAsia" w:ascii="仿宋" w:hAnsi="仿宋" w:eastAsia="仿宋"/>
          <w:sz w:val="30"/>
          <w:szCs w:val="30"/>
        </w:rPr>
        <w:t>。</w:t>
      </w:r>
    </w:p>
    <w:p>
      <w:pPr>
        <w:ind w:firstLine="585"/>
        <w:jc w:val="left"/>
        <w:rPr>
          <w:rFonts w:hint="eastAsia" w:ascii="仿宋" w:hAnsi="仿宋" w:eastAsia="仿宋"/>
          <w:sz w:val="30"/>
          <w:szCs w:val="30"/>
        </w:rPr>
      </w:pPr>
      <w:r>
        <w:rPr>
          <w:rFonts w:hint="eastAsia" w:ascii="仿宋" w:hAnsi="仿宋" w:eastAsia="仿宋"/>
          <w:sz w:val="30"/>
          <w:szCs w:val="30"/>
        </w:rPr>
        <w:t>（三）节能环保支出年初预算数为123.22万元，决算数为123.22万元，完成年初预算的100%，主要原因是：</w:t>
      </w:r>
      <w:r>
        <w:rPr>
          <w:rFonts w:hint="eastAsia" w:ascii="仿宋" w:hAnsi="仿宋" w:eastAsia="仿宋"/>
          <w:sz w:val="30"/>
          <w:szCs w:val="30"/>
          <w:lang w:eastAsia="zh-CN"/>
        </w:rPr>
        <w:t>无</w:t>
      </w:r>
      <w:r>
        <w:rPr>
          <w:rFonts w:hint="eastAsia" w:ascii="仿宋" w:hAnsi="仿宋" w:eastAsia="仿宋"/>
          <w:sz w:val="30"/>
          <w:szCs w:val="30"/>
        </w:rPr>
        <w:t>。</w:t>
      </w:r>
    </w:p>
    <w:p>
      <w:pPr>
        <w:ind w:firstLine="585"/>
        <w:jc w:val="left"/>
        <w:rPr>
          <w:rFonts w:hint="eastAsia" w:ascii="仿宋" w:hAnsi="仿宋" w:eastAsia="仿宋"/>
          <w:sz w:val="30"/>
          <w:szCs w:val="30"/>
        </w:rPr>
      </w:pPr>
      <w:r>
        <w:rPr>
          <w:rFonts w:hint="eastAsia" w:ascii="仿宋" w:hAnsi="仿宋" w:eastAsia="仿宋"/>
          <w:sz w:val="30"/>
          <w:szCs w:val="30"/>
        </w:rPr>
        <w:t>（</w:t>
      </w:r>
      <w:r>
        <w:rPr>
          <w:rFonts w:hint="eastAsia" w:ascii="仿宋" w:hAnsi="仿宋" w:eastAsia="仿宋"/>
          <w:sz w:val="30"/>
          <w:szCs w:val="30"/>
          <w:lang w:eastAsia="zh-CN"/>
        </w:rPr>
        <w:t>四</w:t>
      </w:r>
      <w:r>
        <w:rPr>
          <w:rFonts w:hint="eastAsia" w:ascii="仿宋" w:hAnsi="仿宋" w:eastAsia="仿宋"/>
          <w:sz w:val="30"/>
          <w:szCs w:val="30"/>
        </w:rPr>
        <w:t>）农林水支出年初预算数为</w:t>
      </w:r>
      <w:r>
        <w:rPr>
          <w:rFonts w:hint="eastAsia" w:ascii="仿宋" w:hAnsi="仿宋" w:eastAsia="仿宋"/>
          <w:sz w:val="30"/>
          <w:szCs w:val="30"/>
          <w:lang w:val="en-US" w:eastAsia="zh-CN"/>
        </w:rPr>
        <w:t>6102.42</w:t>
      </w:r>
      <w:r>
        <w:rPr>
          <w:rFonts w:hint="eastAsia" w:ascii="仿宋" w:hAnsi="仿宋" w:eastAsia="仿宋"/>
          <w:sz w:val="30"/>
          <w:szCs w:val="30"/>
        </w:rPr>
        <w:t>万元，决算数为16960.05万元，完成年初预算</w:t>
      </w:r>
      <w:r>
        <w:rPr>
          <w:rFonts w:hint="eastAsia" w:ascii="仿宋" w:hAnsi="仿宋" w:eastAsia="仿宋"/>
          <w:sz w:val="30"/>
          <w:szCs w:val="30"/>
          <w:lang w:val="en-US" w:eastAsia="zh-CN"/>
        </w:rPr>
        <w:t>277.92</w:t>
      </w:r>
      <w:r>
        <w:rPr>
          <w:rFonts w:hint="eastAsia" w:ascii="仿宋" w:hAnsi="仿宋" w:eastAsia="仿宋"/>
          <w:sz w:val="30"/>
          <w:szCs w:val="30"/>
        </w:rPr>
        <w:t>%，主要原因是：松材线虫病防控疫木清理因面积大、范围广，我县对松材线虫病除治方案进行了</w:t>
      </w:r>
      <w:r>
        <w:rPr>
          <w:rFonts w:hint="eastAsia" w:ascii="仿宋" w:hAnsi="仿宋" w:eastAsia="仿宋"/>
          <w:sz w:val="30"/>
          <w:szCs w:val="30"/>
          <w:lang w:eastAsia="zh-CN"/>
        </w:rPr>
        <w:t>调整和</w:t>
      </w:r>
      <w:r>
        <w:rPr>
          <w:rFonts w:hint="eastAsia" w:ascii="仿宋" w:hAnsi="仿宋" w:eastAsia="仿宋"/>
          <w:sz w:val="30"/>
          <w:szCs w:val="30"/>
        </w:rPr>
        <w:t>变更，造成疫木除治支出超过原有预算。</w:t>
      </w:r>
    </w:p>
    <w:p>
      <w:pPr>
        <w:ind w:firstLine="585"/>
        <w:jc w:val="left"/>
        <w:rPr>
          <w:rFonts w:hint="eastAsia" w:ascii="黑体" w:hAnsi="黑体" w:eastAsia="黑体"/>
          <w:sz w:val="30"/>
          <w:szCs w:val="30"/>
        </w:rPr>
      </w:pPr>
      <w:r>
        <w:rPr>
          <w:rFonts w:hint="eastAsia" w:ascii="黑体" w:hAnsi="黑体" w:eastAsia="黑体"/>
          <w:sz w:val="30"/>
          <w:szCs w:val="30"/>
        </w:rPr>
        <w:t>四、一般公共预算财政拨款基本支出决算情况说明</w:t>
      </w:r>
    </w:p>
    <w:p>
      <w:pPr>
        <w:ind w:firstLine="585"/>
        <w:jc w:val="left"/>
        <w:rPr>
          <w:rFonts w:hint="eastAsia" w:ascii="仿宋" w:hAnsi="仿宋" w:eastAsia="仿宋"/>
          <w:sz w:val="30"/>
          <w:szCs w:val="30"/>
        </w:rPr>
      </w:pPr>
      <w:r>
        <w:rPr>
          <w:rFonts w:hint="eastAsia" w:ascii="仿宋" w:hAnsi="仿宋" w:eastAsia="仿宋"/>
          <w:sz w:val="30"/>
          <w:szCs w:val="30"/>
        </w:rPr>
        <w:t>本部门2020年度一般公共预算财政拨款基本支出2970.89万元，其中：</w:t>
      </w:r>
    </w:p>
    <w:p>
      <w:pPr>
        <w:ind w:firstLine="585"/>
        <w:jc w:val="left"/>
        <w:rPr>
          <w:rFonts w:hint="eastAsia" w:ascii="仿宋" w:hAnsi="仿宋" w:eastAsia="仿宋"/>
          <w:sz w:val="30"/>
          <w:szCs w:val="30"/>
        </w:rPr>
      </w:pPr>
      <w:r>
        <w:rPr>
          <w:rFonts w:hint="eastAsia" w:ascii="仿宋" w:hAnsi="仿宋" w:eastAsia="仿宋"/>
          <w:sz w:val="30"/>
          <w:szCs w:val="30"/>
        </w:rPr>
        <w:t>（一）工资福利支出1,968.31万元，较2019年增加</w:t>
      </w:r>
      <w:r>
        <w:rPr>
          <w:rFonts w:hint="eastAsia" w:ascii="仿宋" w:hAnsi="仿宋" w:eastAsia="仿宋"/>
          <w:sz w:val="30"/>
          <w:szCs w:val="30"/>
          <w:lang w:val="en-US" w:eastAsia="zh-CN"/>
        </w:rPr>
        <w:t>1.8</w:t>
      </w:r>
      <w:r>
        <w:rPr>
          <w:rFonts w:hint="eastAsia" w:ascii="仿宋" w:hAnsi="仿宋" w:eastAsia="仿宋"/>
          <w:sz w:val="30"/>
          <w:szCs w:val="30"/>
        </w:rPr>
        <w:t xml:space="preserve"> 万元，增长</w:t>
      </w:r>
      <w:r>
        <w:rPr>
          <w:rFonts w:hint="eastAsia" w:ascii="仿宋" w:hAnsi="仿宋" w:eastAsia="仿宋"/>
          <w:sz w:val="30"/>
          <w:szCs w:val="30"/>
          <w:lang w:val="en-US" w:eastAsia="zh-CN"/>
        </w:rPr>
        <w:t>0.09</w:t>
      </w:r>
      <w:r>
        <w:rPr>
          <w:rFonts w:hint="eastAsia" w:ascii="仿宋" w:hAnsi="仿宋" w:eastAsia="仿宋"/>
          <w:sz w:val="30"/>
          <w:szCs w:val="30"/>
        </w:rPr>
        <w:t>%，主要原因是：</w:t>
      </w:r>
      <w:r>
        <w:rPr>
          <w:rFonts w:hint="eastAsia" w:ascii="仿宋" w:hAnsi="仿宋" w:eastAsia="仿宋"/>
          <w:sz w:val="30"/>
          <w:szCs w:val="30"/>
          <w:lang w:eastAsia="zh-CN"/>
        </w:rPr>
        <w:t>普调工资</w:t>
      </w:r>
      <w:r>
        <w:rPr>
          <w:rFonts w:hint="eastAsia" w:ascii="仿宋" w:hAnsi="仿宋" w:eastAsia="仿宋"/>
          <w:sz w:val="30"/>
          <w:szCs w:val="30"/>
        </w:rPr>
        <w:t>。</w:t>
      </w:r>
    </w:p>
    <w:p>
      <w:pPr>
        <w:ind w:firstLine="585"/>
        <w:jc w:val="left"/>
        <w:rPr>
          <w:rFonts w:hint="eastAsia" w:ascii="仿宋" w:hAnsi="仿宋" w:eastAsia="仿宋"/>
          <w:sz w:val="30"/>
          <w:szCs w:val="30"/>
        </w:rPr>
      </w:pPr>
      <w:r>
        <w:rPr>
          <w:rFonts w:hint="eastAsia" w:ascii="仿宋" w:hAnsi="仿宋" w:eastAsia="仿宋"/>
          <w:sz w:val="30"/>
          <w:szCs w:val="30"/>
        </w:rPr>
        <w:t>（二）商品和服务支出575.39万元，较2019年增加</w:t>
      </w:r>
      <w:r>
        <w:rPr>
          <w:rFonts w:hint="eastAsia" w:ascii="仿宋" w:hAnsi="仿宋" w:eastAsia="仿宋"/>
          <w:sz w:val="30"/>
          <w:szCs w:val="30"/>
          <w:lang w:val="en-US" w:eastAsia="zh-CN"/>
        </w:rPr>
        <w:t>283.8</w:t>
      </w:r>
      <w:r>
        <w:rPr>
          <w:rFonts w:hint="eastAsia" w:ascii="仿宋" w:hAnsi="仿宋" w:eastAsia="仿宋"/>
          <w:sz w:val="30"/>
          <w:szCs w:val="30"/>
        </w:rPr>
        <w:t xml:space="preserve">  万元，增长</w:t>
      </w:r>
      <w:r>
        <w:rPr>
          <w:rFonts w:hint="eastAsia" w:ascii="仿宋" w:hAnsi="仿宋" w:eastAsia="仿宋"/>
          <w:sz w:val="30"/>
          <w:szCs w:val="30"/>
          <w:lang w:val="en-US" w:eastAsia="zh-CN"/>
        </w:rPr>
        <w:t>97.33</w:t>
      </w:r>
      <w:r>
        <w:rPr>
          <w:rFonts w:hint="eastAsia" w:ascii="仿宋" w:hAnsi="仿宋" w:eastAsia="仿宋"/>
          <w:sz w:val="30"/>
          <w:szCs w:val="30"/>
        </w:rPr>
        <w:t>%，主要原因是：</w:t>
      </w:r>
      <w:r>
        <w:rPr>
          <w:rFonts w:hint="eastAsia" w:ascii="仿宋" w:hAnsi="仿宋" w:eastAsia="仿宋"/>
          <w:sz w:val="30"/>
          <w:szCs w:val="30"/>
          <w:lang w:eastAsia="zh-CN"/>
        </w:rPr>
        <w:t>为推进松材线虫病疫木清理，造成劳务费较</w:t>
      </w:r>
      <w:r>
        <w:rPr>
          <w:rFonts w:hint="eastAsia" w:ascii="仿宋" w:hAnsi="仿宋" w:eastAsia="仿宋"/>
          <w:sz w:val="30"/>
          <w:szCs w:val="30"/>
          <w:lang w:val="en-US" w:eastAsia="zh-CN"/>
        </w:rPr>
        <w:t>2019年增加</w:t>
      </w:r>
      <w:r>
        <w:rPr>
          <w:rFonts w:hint="eastAsia" w:ascii="仿宋" w:hAnsi="仿宋" w:eastAsia="仿宋"/>
          <w:sz w:val="30"/>
          <w:szCs w:val="30"/>
        </w:rPr>
        <w:t>。</w:t>
      </w:r>
    </w:p>
    <w:p>
      <w:pPr>
        <w:ind w:firstLine="585"/>
        <w:jc w:val="left"/>
        <w:rPr>
          <w:rFonts w:hint="eastAsia" w:ascii="仿宋" w:hAnsi="仿宋" w:eastAsia="仿宋"/>
          <w:sz w:val="30"/>
          <w:szCs w:val="30"/>
        </w:rPr>
      </w:pPr>
      <w:r>
        <w:rPr>
          <w:rFonts w:hint="eastAsia" w:ascii="仿宋" w:hAnsi="仿宋" w:eastAsia="仿宋"/>
          <w:sz w:val="30"/>
          <w:szCs w:val="30"/>
        </w:rPr>
        <w:t>（三）对个人和家庭补助支出424.07万元，较2019年增加</w:t>
      </w:r>
      <w:r>
        <w:rPr>
          <w:rFonts w:hint="eastAsia" w:ascii="仿宋" w:hAnsi="仿宋" w:eastAsia="仿宋"/>
          <w:sz w:val="30"/>
          <w:szCs w:val="30"/>
          <w:lang w:val="en-US" w:eastAsia="zh-CN"/>
        </w:rPr>
        <w:t>367.11</w:t>
      </w:r>
      <w:r>
        <w:rPr>
          <w:rFonts w:hint="eastAsia" w:ascii="仿宋" w:hAnsi="仿宋" w:eastAsia="仿宋"/>
          <w:sz w:val="30"/>
          <w:szCs w:val="30"/>
        </w:rPr>
        <w:t>万元，增长</w:t>
      </w:r>
      <w:r>
        <w:rPr>
          <w:rFonts w:hint="eastAsia" w:ascii="仿宋" w:hAnsi="仿宋" w:eastAsia="仿宋"/>
          <w:sz w:val="30"/>
          <w:szCs w:val="30"/>
          <w:lang w:val="en-US" w:eastAsia="zh-CN"/>
        </w:rPr>
        <w:t>644.50</w:t>
      </w:r>
      <w:r>
        <w:rPr>
          <w:rFonts w:hint="eastAsia" w:ascii="仿宋" w:hAnsi="仿宋" w:eastAsia="仿宋"/>
          <w:sz w:val="30"/>
          <w:szCs w:val="30"/>
        </w:rPr>
        <w:t>%，主要原因是：抚恤金、生活补贴、奖励金等较2019年</w:t>
      </w:r>
      <w:r>
        <w:rPr>
          <w:rFonts w:hint="eastAsia" w:ascii="仿宋" w:hAnsi="仿宋" w:eastAsia="仿宋"/>
          <w:sz w:val="30"/>
          <w:szCs w:val="30"/>
          <w:lang w:eastAsia="zh-CN"/>
        </w:rPr>
        <w:t>大幅增加，增加了生活补贴支出（会计科目调整）</w:t>
      </w:r>
      <w:r>
        <w:rPr>
          <w:rFonts w:hint="eastAsia" w:ascii="仿宋" w:hAnsi="仿宋" w:eastAsia="仿宋"/>
          <w:sz w:val="30"/>
          <w:szCs w:val="30"/>
        </w:rPr>
        <w:t>。</w:t>
      </w:r>
    </w:p>
    <w:p>
      <w:pPr>
        <w:ind w:firstLine="585"/>
        <w:jc w:val="left"/>
        <w:rPr>
          <w:rFonts w:hint="eastAsia" w:ascii="仿宋" w:hAnsi="仿宋" w:eastAsia="仿宋"/>
          <w:sz w:val="30"/>
          <w:szCs w:val="30"/>
        </w:rPr>
      </w:pPr>
      <w:r>
        <w:rPr>
          <w:rFonts w:hint="eastAsia" w:ascii="仿宋" w:hAnsi="仿宋" w:eastAsia="仿宋"/>
          <w:sz w:val="30"/>
          <w:szCs w:val="30"/>
        </w:rPr>
        <w:t>（四）资本性支出3.13万元，较2019年增加</w:t>
      </w:r>
      <w:r>
        <w:rPr>
          <w:rFonts w:hint="eastAsia" w:ascii="仿宋" w:hAnsi="仿宋" w:eastAsia="仿宋"/>
          <w:sz w:val="30"/>
          <w:szCs w:val="30"/>
          <w:lang w:val="en-US" w:eastAsia="zh-CN"/>
        </w:rPr>
        <w:t>1.85</w:t>
      </w:r>
      <w:r>
        <w:rPr>
          <w:rFonts w:hint="eastAsia" w:ascii="仿宋" w:hAnsi="仿宋" w:eastAsia="仿宋"/>
          <w:sz w:val="30"/>
          <w:szCs w:val="30"/>
        </w:rPr>
        <w:t>万元，增长</w:t>
      </w:r>
      <w:r>
        <w:rPr>
          <w:rFonts w:hint="eastAsia" w:ascii="仿宋" w:hAnsi="仿宋" w:eastAsia="仿宋"/>
          <w:sz w:val="30"/>
          <w:szCs w:val="30"/>
          <w:lang w:val="en-US" w:eastAsia="zh-CN"/>
        </w:rPr>
        <w:t>144.53</w:t>
      </w:r>
      <w:r>
        <w:rPr>
          <w:rFonts w:hint="eastAsia" w:ascii="仿宋" w:hAnsi="仿宋" w:eastAsia="仿宋"/>
          <w:sz w:val="30"/>
          <w:szCs w:val="30"/>
        </w:rPr>
        <w:t>%，主要原因是：</w:t>
      </w:r>
      <w:r>
        <w:rPr>
          <w:rFonts w:hint="eastAsia" w:ascii="仿宋" w:hAnsi="仿宋" w:eastAsia="仿宋"/>
          <w:sz w:val="30"/>
          <w:szCs w:val="30"/>
          <w:lang w:eastAsia="zh-CN"/>
        </w:rPr>
        <w:t>购置办公设备较</w:t>
      </w:r>
      <w:r>
        <w:rPr>
          <w:rFonts w:hint="eastAsia" w:ascii="仿宋" w:hAnsi="仿宋" w:eastAsia="仿宋"/>
          <w:sz w:val="30"/>
          <w:szCs w:val="30"/>
          <w:lang w:val="en-US" w:eastAsia="zh-CN"/>
        </w:rPr>
        <w:t>2019年增加</w:t>
      </w:r>
      <w:r>
        <w:rPr>
          <w:rFonts w:hint="eastAsia" w:ascii="仿宋" w:hAnsi="仿宋" w:eastAsia="仿宋"/>
          <w:sz w:val="30"/>
          <w:szCs w:val="30"/>
        </w:rPr>
        <w:t>。</w:t>
      </w:r>
    </w:p>
    <w:p>
      <w:pPr>
        <w:ind w:firstLine="630"/>
        <w:jc w:val="left"/>
        <w:rPr>
          <w:rFonts w:hint="eastAsia" w:ascii="黑体" w:hAnsi="黑体" w:eastAsia="黑体"/>
          <w:sz w:val="30"/>
          <w:szCs w:val="30"/>
        </w:rPr>
      </w:pPr>
      <w:r>
        <w:rPr>
          <w:rFonts w:hint="eastAsia" w:ascii="黑体" w:hAnsi="黑体" w:eastAsia="黑体"/>
          <w:sz w:val="30"/>
          <w:szCs w:val="30"/>
        </w:rPr>
        <w:t>五、一般公共预算财政拨款“三公”经费支出决算情况说明</w:t>
      </w:r>
    </w:p>
    <w:p>
      <w:pPr>
        <w:ind w:firstLine="630"/>
        <w:jc w:val="left"/>
        <w:rPr>
          <w:rFonts w:hint="eastAsia" w:ascii="仿宋" w:hAnsi="仿宋" w:eastAsia="仿宋"/>
          <w:sz w:val="30"/>
          <w:szCs w:val="30"/>
        </w:rPr>
      </w:pPr>
      <w:r>
        <w:rPr>
          <w:rFonts w:hint="eastAsia" w:ascii="仿宋" w:hAnsi="仿宋" w:eastAsia="仿宋"/>
          <w:sz w:val="30"/>
          <w:szCs w:val="30"/>
        </w:rPr>
        <w:t>本部门2020年度一般公共预算财政拨款“三公”经费支出年初预算数为</w:t>
      </w:r>
      <w:r>
        <w:rPr>
          <w:rFonts w:hint="eastAsia" w:ascii="仿宋" w:hAnsi="仿宋" w:eastAsia="仿宋"/>
          <w:sz w:val="30"/>
          <w:szCs w:val="30"/>
          <w:lang w:val="en-US" w:eastAsia="zh-CN"/>
        </w:rPr>
        <w:t>24.5</w:t>
      </w:r>
      <w:r>
        <w:rPr>
          <w:rFonts w:hint="eastAsia" w:ascii="仿宋" w:hAnsi="仿宋" w:eastAsia="仿宋"/>
          <w:sz w:val="30"/>
          <w:szCs w:val="30"/>
        </w:rPr>
        <w:t>万元，决算数为</w:t>
      </w:r>
      <w:r>
        <w:rPr>
          <w:rFonts w:hint="eastAsia" w:ascii="仿宋" w:hAnsi="仿宋" w:eastAsia="仿宋"/>
          <w:sz w:val="30"/>
          <w:szCs w:val="30"/>
          <w:lang w:val="en-US" w:eastAsia="zh-CN"/>
        </w:rPr>
        <w:t>22.52</w:t>
      </w:r>
      <w:r>
        <w:rPr>
          <w:rFonts w:hint="eastAsia" w:ascii="仿宋" w:hAnsi="仿宋" w:eastAsia="仿宋"/>
          <w:sz w:val="30"/>
          <w:szCs w:val="30"/>
        </w:rPr>
        <w:t>万元，完成预算的</w:t>
      </w:r>
      <w:r>
        <w:rPr>
          <w:rFonts w:hint="eastAsia" w:ascii="仿宋" w:hAnsi="仿宋" w:eastAsia="仿宋"/>
          <w:sz w:val="30"/>
          <w:szCs w:val="30"/>
          <w:lang w:val="en-US" w:eastAsia="zh-CN"/>
        </w:rPr>
        <w:t>91.93</w:t>
      </w:r>
      <w:r>
        <w:rPr>
          <w:rFonts w:hint="eastAsia" w:ascii="仿宋" w:hAnsi="仿宋" w:eastAsia="仿宋"/>
          <w:sz w:val="30"/>
          <w:szCs w:val="30"/>
        </w:rPr>
        <w:t>%，决算数较2019年减少</w:t>
      </w:r>
      <w:r>
        <w:rPr>
          <w:rFonts w:hint="eastAsia" w:ascii="仿宋" w:hAnsi="仿宋" w:eastAsia="仿宋"/>
          <w:sz w:val="30"/>
          <w:szCs w:val="30"/>
          <w:lang w:val="en-US" w:eastAsia="zh-CN"/>
        </w:rPr>
        <w:t>1.98</w:t>
      </w:r>
      <w:r>
        <w:rPr>
          <w:rFonts w:hint="eastAsia" w:ascii="仿宋" w:hAnsi="仿宋" w:eastAsia="仿宋"/>
          <w:sz w:val="30"/>
          <w:szCs w:val="30"/>
        </w:rPr>
        <w:t>万元，下降</w:t>
      </w:r>
      <w:r>
        <w:rPr>
          <w:rFonts w:hint="eastAsia" w:ascii="仿宋" w:hAnsi="仿宋" w:eastAsia="仿宋"/>
          <w:sz w:val="30"/>
          <w:szCs w:val="30"/>
          <w:lang w:val="en-US" w:eastAsia="zh-CN"/>
        </w:rPr>
        <w:t>8.07</w:t>
      </w:r>
      <w:r>
        <w:rPr>
          <w:rFonts w:hint="eastAsia" w:ascii="仿宋" w:hAnsi="仿宋" w:eastAsia="仿宋"/>
          <w:sz w:val="30"/>
          <w:szCs w:val="30"/>
        </w:rPr>
        <w:t>%，其中：</w:t>
      </w:r>
    </w:p>
    <w:p>
      <w:pPr>
        <w:ind w:firstLine="630"/>
        <w:jc w:val="left"/>
        <w:rPr>
          <w:rFonts w:hint="default" w:ascii="仿宋" w:hAnsi="仿宋" w:eastAsia="仿宋"/>
          <w:sz w:val="30"/>
          <w:szCs w:val="30"/>
          <w:lang w:val="en-US"/>
        </w:rPr>
      </w:pPr>
      <w:r>
        <w:rPr>
          <w:rFonts w:hint="eastAsia" w:ascii="仿宋" w:hAnsi="仿宋" w:eastAsia="仿宋"/>
          <w:sz w:val="30"/>
          <w:szCs w:val="30"/>
        </w:rPr>
        <w:t>（一）因公出国（境）支出年初预算数为</w:t>
      </w:r>
      <w:r>
        <w:rPr>
          <w:rFonts w:hint="eastAsia" w:ascii="仿宋" w:hAnsi="仿宋" w:eastAsia="仿宋"/>
          <w:sz w:val="30"/>
          <w:szCs w:val="30"/>
          <w:lang w:val="en-US" w:eastAsia="zh-CN"/>
        </w:rPr>
        <w:t>0</w:t>
      </w:r>
      <w:r>
        <w:rPr>
          <w:rFonts w:hint="eastAsia" w:ascii="仿宋" w:hAnsi="仿宋" w:eastAsia="仿宋"/>
          <w:sz w:val="30"/>
          <w:szCs w:val="30"/>
        </w:rPr>
        <w:t>万元，决算数为</w:t>
      </w:r>
      <w:r>
        <w:rPr>
          <w:rFonts w:hint="eastAsia" w:ascii="仿宋" w:hAnsi="仿宋" w:eastAsia="仿宋"/>
          <w:sz w:val="30"/>
          <w:szCs w:val="30"/>
          <w:lang w:val="en-US" w:eastAsia="zh-CN"/>
        </w:rPr>
        <w:t>0</w:t>
      </w:r>
      <w:r>
        <w:rPr>
          <w:rFonts w:hint="eastAsia" w:ascii="仿宋" w:hAnsi="仿宋" w:eastAsia="仿宋"/>
          <w:sz w:val="30"/>
          <w:szCs w:val="30"/>
        </w:rPr>
        <w:t>万元，完成预算的</w:t>
      </w:r>
      <w:r>
        <w:rPr>
          <w:rFonts w:hint="eastAsia" w:ascii="仿宋" w:hAnsi="仿宋" w:eastAsia="仿宋"/>
          <w:sz w:val="30"/>
          <w:szCs w:val="30"/>
          <w:lang w:val="en-US" w:eastAsia="zh-CN"/>
        </w:rPr>
        <w:t>100</w:t>
      </w:r>
      <w:r>
        <w:rPr>
          <w:rFonts w:hint="eastAsia" w:ascii="仿宋" w:hAnsi="仿宋" w:eastAsia="仿宋"/>
          <w:sz w:val="30"/>
          <w:szCs w:val="30"/>
        </w:rPr>
        <w:t>%，决算数较2019年增加</w:t>
      </w:r>
      <w:r>
        <w:rPr>
          <w:rFonts w:hint="eastAsia" w:ascii="仿宋" w:hAnsi="仿宋" w:eastAsia="仿宋"/>
          <w:sz w:val="30"/>
          <w:szCs w:val="30"/>
          <w:lang w:val="en-US" w:eastAsia="zh-CN"/>
        </w:rPr>
        <w:t>0</w:t>
      </w:r>
      <w:r>
        <w:rPr>
          <w:rFonts w:hint="eastAsia" w:ascii="仿宋" w:hAnsi="仿宋" w:eastAsia="仿宋"/>
          <w:sz w:val="30"/>
          <w:szCs w:val="30"/>
        </w:rPr>
        <w:t>万元，增长</w:t>
      </w:r>
      <w:r>
        <w:rPr>
          <w:rFonts w:hint="eastAsia" w:ascii="仿宋" w:hAnsi="仿宋" w:eastAsia="仿宋"/>
          <w:sz w:val="30"/>
          <w:szCs w:val="30"/>
          <w:lang w:val="en-US" w:eastAsia="zh-CN"/>
        </w:rPr>
        <w:t>0</w:t>
      </w:r>
      <w:r>
        <w:rPr>
          <w:rFonts w:hint="eastAsia" w:ascii="仿宋" w:hAnsi="仿宋" w:eastAsia="仿宋"/>
          <w:sz w:val="30"/>
          <w:szCs w:val="30"/>
        </w:rPr>
        <w:t>%</w:t>
      </w:r>
      <w:r>
        <w:rPr>
          <w:rFonts w:hint="eastAsia" w:ascii="仿宋" w:hAnsi="仿宋" w:eastAsia="仿宋"/>
          <w:sz w:val="30"/>
          <w:szCs w:val="30"/>
          <w:lang w:eastAsia="zh-CN"/>
        </w:rPr>
        <w:t>，</w:t>
      </w:r>
      <w:r>
        <w:rPr>
          <w:rFonts w:hint="eastAsia" w:ascii="仿宋" w:hAnsi="仿宋" w:eastAsia="仿宋" w:cs="Times New Roman"/>
          <w:sz w:val="30"/>
          <w:szCs w:val="30"/>
          <w:lang w:val="en-US" w:eastAsia="zh-CN"/>
        </w:rPr>
        <w:t>主要原因是：全年无</w:t>
      </w:r>
      <w:r>
        <w:rPr>
          <w:rFonts w:hint="eastAsia" w:ascii="仿宋" w:hAnsi="仿宋" w:eastAsia="仿宋"/>
          <w:sz w:val="30"/>
          <w:szCs w:val="30"/>
        </w:rPr>
        <w:t>因公出国（境）支出</w:t>
      </w:r>
      <w:r>
        <w:rPr>
          <w:rFonts w:hint="eastAsia" w:ascii="仿宋" w:hAnsi="仿宋" w:eastAsia="仿宋" w:cs="Times New Roman"/>
          <w:sz w:val="30"/>
          <w:szCs w:val="30"/>
        </w:rPr>
        <w:t>。</w:t>
      </w:r>
      <w:r>
        <w:rPr>
          <w:rFonts w:hint="eastAsia" w:ascii="仿宋" w:hAnsi="仿宋" w:eastAsia="仿宋"/>
          <w:sz w:val="30"/>
          <w:szCs w:val="30"/>
        </w:rPr>
        <w:t>决算数较年初预算数增加（减少）的主要原因是：</w:t>
      </w:r>
      <w:r>
        <w:rPr>
          <w:rFonts w:hint="eastAsia" w:ascii="仿宋" w:hAnsi="仿宋" w:eastAsia="仿宋" w:cs="Times New Roman"/>
          <w:sz w:val="30"/>
          <w:szCs w:val="30"/>
          <w:lang w:val="en-US" w:eastAsia="zh-CN"/>
        </w:rPr>
        <w:t>全年无</w:t>
      </w:r>
      <w:r>
        <w:rPr>
          <w:rFonts w:hint="eastAsia" w:ascii="仿宋" w:hAnsi="仿宋" w:eastAsia="仿宋"/>
          <w:sz w:val="30"/>
          <w:szCs w:val="30"/>
        </w:rPr>
        <w:t>因公出国（境）支出。</w:t>
      </w:r>
      <w:r>
        <w:rPr>
          <w:rFonts w:hint="eastAsia" w:ascii="仿宋" w:hAnsi="仿宋" w:eastAsia="仿宋"/>
          <w:sz w:val="30"/>
          <w:szCs w:val="30"/>
          <w:lang w:val="en-US" w:eastAsia="zh-CN"/>
        </w:rPr>
        <w:t>全年安排因公出国（境）团组0个，累计0人次，主要为：</w:t>
      </w:r>
      <w:r>
        <w:rPr>
          <w:rFonts w:hint="eastAsia" w:ascii="仿宋" w:hAnsi="仿宋" w:eastAsia="仿宋" w:cs="Times New Roman"/>
          <w:sz w:val="30"/>
          <w:szCs w:val="30"/>
          <w:lang w:val="en-US" w:eastAsia="zh-CN"/>
        </w:rPr>
        <w:t>全年无</w:t>
      </w:r>
      <w:r>
        <w:rPr>
          <w:rFonts w:hint="eastAsia" w:ascii="仿宋" w:hAnsi="仿宋" w:eastAsia="仿宋"/>
          <w:sz w:val="30"/>
          <w:szCs w:val="30"/>
        </w:rPr>
        <w:t>因公出国（境）支出。</w:t>
      </w:r>
    </w:p>
    <w:p>
      <w:pPr>
        <w:ind w:firstLine="630"/>
        <w:jc w:val="left"/>
        <w:rPr>
          <w:rFonts w:hint="default" w:ascii="仿宋" w:hAnsi="仿宋" w:eastAsia="仿宋"/>
          <w:sz w:val="30"/>
          <w:szCs w:val="30"/>
          <w:lang w:val="en-US" w:eastAsia="zh-CN"/>
        </w:rPr>
      </w:pPr>
      <w:r>
        <w:rPr>
          <w:rFonts w:hint="eastAsia" w:ascii="仿宋" w:hAnsi="仿宋" w:eastAsia="仿宋"/>
          <w:sz w:val="30"/>
          <w:szCs w:val="30"/>
        </w:rPr>
        <w:t>（二）公务接待费支出年初预算数为</w:t>
      </w:r>
      <w:r>
        <w:rPr>
          <w:rFonts w:hint="eastAsia" w:ascii="仿宋" w:hAnsi="仿宋" w:eastAsia="仿宋"/>
          <w:sz w:val="30"/>
          <w:szCs w:val="30"/>
          <w:lang w:val="en-US" w:eastAsia="zh-CN"/>
        </w:rPr>
        <w:t>16.5</w:t>
      </w:r>
      <w:r>
        <w:rPr>
          <w:rFonts w:hint="eastAsia" w:ascii="仿宋" w:hAnsi="仿宋" w:eastAsia="仿宋"/>
          <w:sz w:val="30"/>
          <w:szCs w:val="30"/>
        </w:rPr>
        <w:t>万元，决算数为</w:t>
      </w:r>
      <w:r>
        <w:rPr>
          <w:rFonts w:hint="eastAsia" w:ascii="仿宋" w:hAnsi="仿宋" w:eastAsia="仿宋"/>
          <w:sz w:val="30"/>
          <w:szCs w:val="30"/>
          <w:lang w:val="en-US" w:eastAsia="zh-CN"/>
        </w:rPr>
        <w:t>14.53</w:t>
      </w:r>
      <w:r>
        <w:rPr>
          <w:rFonts w:hint="eastAsia" w:ascii="仿宋" w:hAnsi="仿宋" w:eastAsia="仿宋"/>
          <w:sz w:val="30"/>
          <w:szCs w:val="30"/>
        </w:rPr>
        <w:t>万元，完成预算的</w:t>
      </w:r>
      <w:r>
        <w:rPr>
          <w:rFonts w:hint="eastAsia" w:ascii="仿宋" w:hAnsi="仿宋" w:eastAsia="仿宋"/>
          <w:sz w:val="30"/>
          <w:szCs w:val="30"/>
          <w:lang w:val="en-US" w:eastAsia="zh-CN"/>
        </w:rPr>
        <w:t>88.08</w:t>
      </w:r>
      <w:r>
        <w:rPr>
          <w:rFonts w:hint="eastAsia" w:ascii="仿宋" w:hAnsi="仿宋" w:eastAsia="仿宋"/>
          <w:sz w:val="30"/>
          <w:szCs w:val="30"/>
        </w:rPr>
        <w:t xml:space="preserve"> %，决算数较2019年减少</w:t>
      </w:r>
      <w:r>
        <w:rPr>
          <w:rFonts w:hint="eastAsia" w:ascii="仿宋" w:hAnsi="仿宋" w:eastAsia="仿宋"/>
          <w:sz w:val="30"/>
          <w:szCs w:val="30"/>
          <w:lang w:val="en-US" w:eastAsia="zh-CN"/>
        </w:rPr>
        <w:t>22.04</w:t>
      </w:r>
      <w:r>
        <w:rPr>
          <w:rFonts w:hint="eastAsia" w:ascii="仿宋" w:hAnsi="仿宋" w:eastAsia="仿宋"/>
          <w:sz w:val="30"/>
          <w:szCs w:val="30"/>
        </w:rPr>
        <w:t>万元，下降</w:t>
      </w:r>
      <w:r>
        <w:rPr>
          <w:rFonts w:hint="eastAsia" w:ascii="仿宋" w:hAnsi="仿宋" w:eastAsia="仿宋"/>
          <w:sz w:val="30"/>
          <w:szCs w:val="30"/>
          <w:lang w:val="en-US" w:eastAsia="zh-CN"/>
        </w:rPr>
        <w:t>57.19</w:t>
      </w:r>
      <w:r>
        <w:rPr>
          <w:rFonts w:hint="eastAsia" w:ascii="仿宋" w:hAnsi="仿宋" w:eastAsia="仿宋"/>
          <w:sz w:val="30"/>
          <w:szCs w:val="30"/>
        </w:rPr>
        <w:t>%</w:t>
      </w:r>
      <w:r>
        <w:rPr>
          <w:rFonts w:hint="eastAsia" w:ascii="仿宋" w:hAnsi="仿宋" w:eastAsia="仿宋"/>
          <w:sz w:val="30"/>
          <w:szCs w:val="30"/>
          <w:lang w:eastAsia="zh-CN"/>
        </w:rPr>
        <w:t>，</w:t>
      </w:r>
      <w:r>
        <w:rPr>
          <w:rFonts w:hint="eastAsia" w:ascii="仿宋" w:hAnsi="仿宋" w:eastAsia="仿宋" w:cs="Times New Roman"/>
          <w:sz w:val="30"/>
          <w:szCs w:val="30"/>
          <w:lang w:val="en-US" w:eastAsia="zh-CN"/>
        </w:rPr>
        <w:t>主要原因是：上级督导检查较2019年下降使得国内接待费降低</w:t>
      </w:r>
      <w:r>
        <w:rPr>
          <w:rFonts w:hint="eastAsia" w:ascii="仿宋" w:hAnsi="仿宋" w:eastAsia="仿宋"/>
          <w:sz w:val="30"/>
          <w:szCs w:val="30"/>
        </w:rPr>
        <w:t>。决算数较年初预算数减少的主要原因是：</w:t>
      </w:r>
      <w:r>
        <w:rPr>
          <w:rFonts w:hint="eastAsia" w:ascii="仿宋" w:hAnsi="仿宋" w:eastAsia="仿宋"/>
          <w:sz w:val="30"/>
          <w:szCs w:val="30"/>
          <w:lang w:eastAsia="zh-CN"/>
        </w:rPr>
        <w:t>接待数比预算降低</w:t>
      </w:r>
      <w:r>
        <w:rPr>
          <w:rFonts w:hint="eastAsia" w:ascii="仿宋" w:hAnsi="仿宋" w:eastAsia="仿宋"/>
          <w:sz w:val="30"/>
          <w:szCs w:val="30"/>
        </w:rPr>
        <w:t>。</w:t>
      </w:r>
      <w:r>
        <w:rPr>
          <w:rFonts w:hint="eastAsia" w:ascii="仿宋" w:hAnsi="仿宋" w:eastAsia="仿宋"/>
          <w:sz w:val="30"/>
          <w:szCs w:val="30"/>
          <w:lang w:val="en-US" w:eastAsia="zh-CN"/>
        </w:rPr>
        <w:t>全年国内公务接待289批，累计接待1452人次，其中外事接待0批，累计接待0人次，主要为：</w:t>
      </w:r>
      <w:r>
        <w:rPr>
          <w:rFonts w:hint="eastAsia" w:ascii="仿宋" w:hAnsi="仿宋" w:eastAsia="仿宋"/>
          <w:sz w:val="30"/>
          <w:szCs w:val="30"/>
          <w:lang w:eastAsia="zh-CN"/>
        </w:rPr>
        <w:t>松材线虫病疫木清理、油茶产业技术指导、林长制督导等各项工作</w:t>
      </w:r>
      <w:r>
        <w:rPr>
          <w:rFonts w:hint="eastAsia" w:ascii="仿宋" w:hAnsi="仿宋" w:eastAsia="仿宋"/>
          <w:sz w:val="30"/>
          <w:szCs w:val="30"/>
        </w:rPr>
        <w:t>。</w:t>
      </w:r>
    </w:p>
    <w:p>
      <w:pPr>
        <w:ind w:firstLine="630"/>
        <w:jc w:val="left"/>
        <w:rPr>
          <w:rFonts w:hint="eastAsia" w:ascii="仿宋" w:hAnsi="仿宋" w:eastAsia="仿宋"/>
          <w:sz w:val="30"/>
          <w:szCs w:val="30"/>
        </w:rPr>
      </w:pPr>
      <w:r>
        <w:rPr>
          <w:rFonts w:hint="eastAsia" w:ascii="仿宋" w:hAnsi="仿宋" w:eastAsia="仿宋"/>
          <w:sz w:val="30"/>
          <w:szCs w:val="30"/>
        </w:rPr>
        <w:t>（三）公务用车购置及运行维护费支出</w:t>
      </w:r>
      <w:r>
        <w:rPr>
          <w:rFonts w:hint="eastAsia" w:ascii="仿宋" w:hAnsi="仿宋" w:eastAsia="仿宋"/>
          <w:sz w:val="30"/>
          <w:szCs w:val="30"/>
          <w:lang w:val="en-US" w:eastAsia="zh-CN"/>
        </w:rPr>
        <w:t>7.99</w:t>
      </w:r>
      <w:r>
        <w:rPr>
          <w:rFonts w:hint="eastAsia" w:ascii="仿宋" w:hAnsi="仿宋" w:eastAsia="仿宋"/>
          <w:sz w:val="30"/>
          <w:szCs w:val="30"/>
        </w:rPr>
        <w:t>万元，其中公务用车购置年初预算数为</w:t>
      </w:r>
      <w:r>
        <w:rPr>
          <w:rFonts w:hint="eastAsia" w:ascii="仿宋" w:hAnsi="仿宋" w:eastAsia="仿宋"/>
          <w:sz w:val="30"/>
          <w:szCs w:val="30"/>
          <w:lang w:val="en-US" w:eastAsia="zh-CN"/>
        </w:rPr>
        <w:t>0</w:t>
      </w:r>
      <w:r>
        <w:rPr>
          <w:rFonts w:hint="eastAsia" w:ascii="仿宋" w:hAnsi="仿宋" w:eastAsia="仿宋"/>
          <w:sz w:val="30"/>
          <w:szCs w:val="30"/>
        </w:rPr>
        <w:t>万元，决算数为</w:t>
      </w:r>
      <w:r>
        <w:rPr>
          <w:rFonts w:hint="eastAsia" w:ascii="仿宋" w:hAnsi="仿宋" w:eastAsia="仿宋"/>
          <w:sz w:val="30"/>
          <w:szCs w:val="30"/>
          <w:lang w:val="en-US" w:eastAsia="zh-CN"/>
        </w:rPr>
        <w:t>0</w:t>
      </w:r>
      <w:r>
        <w:rPr>
          <w:rFonts w:hint="eastAsia" w:ascii="仿宋" w:hAnsi="仿宋" w:eastAsia="仿宋"/>
          <w:sz w:val="30"/>
          <w:szCs w:val="30"/>
        </w:rPr>
        <w:t>万元，完成预算的</w:t>
      </w:r>
      <w:r>
        <w:rPr>
          <w:rFonts w:hint="eastAsia" w:ascii="仿宋" w:hAnsi="仿宋" w:eastAsia="仿宋"/>
          <w:sz w:val="30"/>
          <w:szCs w:val="30"/>
          <w:lang w:val="en-US" w:eastAsia="zh-CN"/>
        </w:rPr>
        <w:t>100</w:t>
      </w:r>
      <w:r>
        <w:rPr>
          <w:rFonts w:hint="eastAsia" w:ascii="仿宋" w:hAnsi="仿宋" w:eastAsia="仿宋"/>
          <w:sz w:val="30"/>
          <w:szCs w:val="30"/>
        </w:rPr>
        <w:t>%，决算数较2019年增加（减少）</w:t>
      </w:r>
      <w:r>
        <w:rPr>
          <w:rFonts w:hint="eastAsia" w:ascii="仿宋" w:hAnsi="仿宋" w:eastAsia="仿宋"/>
          <w:sz w:val="30"/>
          <w:szCs w:val="30"/>
          <w:lang w:val="en-US" w:eastAsia="zh-CN"/>
        </w:rPr>
        <w:t>0</w:t>
      </w:r>
      <w:r>
        <w:rPr>
          <w:rFonts w:hint="eastAsia" w:ascii="仿宋" w:hAnsi="仿宋" w:eastAsia="仿宋"/>
          <w:sz w:val="30"/>
          <w:szCs w:val="30"/>
        </w:rPr>
        <w:t>万元，增长（下降）</w:t>
      </w:r>
      <w:r>
        <w:rPr>
          <w:rFonts w:hint="eastAsia" w:ascii="仿宋" w:hAnsi="仿宋" w:eastAsia="仿宋"/>
          <w:sz w:val="30"/>
          <w:szCs w:val="30"/>
          <w:lang w:val="en-US" w:eastAsia="zh-CN"/>
        </w:rPr>
        <w:t>0</w:t>
      </w:r>
      <w:r>
        <w:rPr>
          <w:rFonts w:hint="eastAsia" w:ascii="仿宋" w:hAnsi="仿宋" w:eastAsia="仿宋"/>
          <w:sz w:val="30"/>
          <w:szCs w:val="30"/>
        </w:rPr>
        <w:t>%</w:t>
      </w:r>
      <w:r>
        <w:rPr>
          <w:rFonts w:hint="eastAsia" w:ascii="仿宋" w:hAnsi="仿宋" w:eastAsia="仿宋"/>
          <w:sz w:val="30"/>
          <w:szCs w:val="30"/>
          <w:lang w:eastAsia="zh-CN"/>
        </w:rPr>
        <w:t>，</w:t>
      </w:r>
      <w:r>
        <w:rPr>
          <w:rFonts w:hint="eastAsia" w:ascii="仿宋" w:hAnsi="仿宋" w:eastAsia="仿宋" w:cs="Times New Roman"/>
          <w:sz w:val="30"/>
          <w:szCs w:val="30"/>
          <w:lang w:val="en-US" w:eastAsia="zh-CN"/>
        </w:rPr>
        <w:t>主要原因是：本年度无购置公务用车</w:t>
      </w:r>
      <w:r>
        <w:rPr>
          <w:rFonts w:hint="eastAsia" w:ascii="仿宋" w:hAnsi="仿宋" w:eastAsia="仿宋"/>
          <w:sz w:val="30"/>
          <w:szCs w:val="30"/>
          <w:lang w:eastAsia="zh-CN"/>
        </w:rPr>
        <w:t>，</w:t>
      </w:r>
      <w:r>
        <w:rPr>
          <w:rFonts w:hint="eastAsia" w:ascii="仿宋" w:hAnsi="仿宋" w:eastAsia="仿宋"/>
          <w:sz w:val="30"/>
          <w:szCs w:val="30"/>
          <w:lang w:val="en-US" w:eastAsia="zh-CN"/>
        </w:rPr>
        <w:t>全年购置公务用车0辆</w:t>
      </w:r>
      <w:r>
        <w:rPr>
          <w:rFonts w:hint="eastAsia" w:ascii="仿宋" w:hAnsi="仿宋" w:eastAsia="仿宋"/>
          <w:sz w:val="30"/>
          <w:szCs w:val="30"/>
        </w:rPr>
        <w:t>。决算数较年初预算数</w:t>
      </w:r>
      <w:r>
        <w:rPr>
          <w:rFonts w:hint="eastAsia" w:ascii="仿宋" w:hAnsi="仿宋" w:eastAsia="仿宋"/>
          <w:sz w:val="30"/>
          <w:szCs w:val="30"/>
          <w:lang w:eastAsia="zh-CN"/>
        </w:rPr>
        <w:t>无</w:t>
      </w:r>
      <w:r>
        <w:rPr>
          <w:rFonts w:hint="eastAsia" w:ascii="仿宋" w:hAnsi="仿宋" w:eastAsia="仿宋"/>
          <w:sz w:val="30"/>
          <w:szCs w:val="30"/>
        </w:rPr>
        <w:t>增加（减少）</w:t>
      </w:r>
      <w:r>
        <w:rPr>
          <w:rFonts w:hint="eastAsia" w:ascii="仿宋" w:hAnsi="仿宋" w:eastAsia="仿宋"/>
          <w:sz w:val="30"/>
          <w:szCs w:val="30"/>
          <w:lang w:eastAsia="zh-CN"/>
        </w:rPr>
        <w:t>，与年初预算数持平</w:t>
      </w:r>
      <w:r>
        <w:rPr>
          <w:rFonts w:hint="eastAsia" w:ascii="仿宋" w:hAnsi="仿宋" w:eastAsia="仿宋"/>
          <w:sz w:val="30"/>
          <w:szCs w:val="30"/>
        </w:rPr>
        <w:t>；公务用车运行维护费支出年初预算数为</w:t>
      </w:r>
      <w:r>
        <w:rPr>
          <w:rFonts w:hint="eastAsia" w:ascii="仿宋" w:hAnsi="仿宋" w:eastAsia="仿宋"/>
          <w:sz w:val="30"/>
          <w:szCs w:val="30"/>
          <w:lang w:val="en-US" w:eastAsia="zh-CN"/>
        </w:rPr>
        <w:t>8</w:t>
      </w:r>
      <w:r>
        <w:rPr>
          <w:rFonts w:hint="eastAsia" w:ascii="仿宋" w:hAnsi="仿宋" w:eastAsia="仿宋"/>
          <w:sz w:val="30"/>
          <w:szCs w:val="30"/>
        </w:rPr>
        <w:t>万元，决算数为</w:t>
      </w:r>
      <w:r>
        <w:rPr>
          <w:rFonts w:hint="eastAsia" w:ascii="仿宋" w:hAnsi="仿宋" w:eastAsia="仿宋"/>
          <w:sz w:val="30"/>
          <w:szCs w:val="30"/>
          <w:lang w:val="en-US" w:eastAsia="zh-CN"/>
        </w:rPr>
        <w:t>7.99</w:t>
      </w:r>
      <w:r>
        <w:rPr>
          <w:rFonts w:hint="eastAsia" w:ascii="仿宋" w:hAnsi="仿宋" w:eastAsia="仿宋"/>
          <w:sz w:val="30"/>
          <w:szCs w:val="30"/>
        </w:rPr>
        <w:t>万元，完成预算的</w:t>
      </w:r>
      <w:r>
        <w:rPr>
          <w:rFonts w:hint="eastAsia" w:ascii="仿宋" w:hAnsi="仿宋" w:eastAsia="仿宋"/>
          <w:sz w:val="30"/>
          <w:szCs w:val="30"/>
          <w:lang w:val="en-US" w:eastAsia="zh-CN"/>
        </w:rPr>
        <w:t>99.88</w:t>
      </w:r>
      <w:r>
        <w:rPr>
          <w:rFonts w:hint="eastAsia" w:ascii="仿宋" w:hAnsi="仿宋" w:eastAsia="仿宋"/>
          <w:sz w:val="30"/>
          <w:szCs w:val="30"/>
        </w:rPr>
        <w:t>%，决算数较2019年减少</w:t>
      </w:r>
      <w:r>
        <w:rPr>
          <w:rFonts w:hint="eastAsia" w:ascii="仿宋" w:hAnsi="仿宋" w:eastAsia="仿宋"/>
          <w:sz w:val="30"/>
          <w:szCs w:val="30"/>
          <w:lang w:val="en-US" w:eastAsia="zh-CN"/>
        </w:rPr>
        <w:t>7.28</w:t>
      </w:r>
      <w:r>
        <w:rPr>
          <w:rFonts w:hint="eastAsia" w:ascii="仿宋" w:hAnsi="仿宋" w:eastAsia="仿宋"/>
          <w:sz w:val="30"/>
          <w:szCs w:val="30"/>
        </w:rPr>
        <w:t>万元，下降</w:t>
      </w:r>
      <w:r>
        <w:rPr>
          <w:rFonts w:hint="eastAsia" w:ascii="仿宋" w:hAnsi="仿宋" w:eastAsia="仿宋"/>
          <w:sz w:val="30"/>
          <w:szCs w:val="30"/>
          <w:lang w:val="en-US" w:eastAsia="zh-CN"/>
        </w:rPr>
        <w:t>47.68</w:t>
      </w:r>
      <w:r>
        <w:rPr>
          <w:rFonts w:hint="eastAsia" w:ascii="仿宋" w:hAnsi="仿宋" w:eastAsia="仿宋"/>
          <w:sz w:val="30"/>
          <w:szCs w:val="30"/>
        </w:rPr>
        <w:t>%</w:t>
      </w:r>
      <w:r>
        <w:rPr>
          <w:rFonts w:hint="eastAsia" w:ascii="仿宋" w:hAnsi="仿宋" w:eastAsia="仿宋"/>
          <w:sz w:val="30"/>
          <w:szCs w:val="30"/>
          <w:lang w:eastAsia="zh-CN"/>
        </w:rPr>
        <w:t>，</w:t>
      </w:r>
      <w:r>
        <w:rPr>
          <w:rFonts w:hint="eastAsia" w:ascii="仿宋" w:hAnsi="仿宋" w:eastAsia="仿宋" w:cs="Times New Roman"/>
          <w:sz w:val="30"/>
          <w:szCs w:val="30"/>
          <w:lang w:val="en-US" w:eastAsia="zh-CN"/>
        </w:rPr>
        <w:t>主要原因是：一是精准扶贫工作结束，车辆运行费下降，二是森林消防车辆转隶至应急管理局</w:t>
      </w:r>
      <w:r>
        <w:rPr>
          <w:rFonts w:hint="eastAsia" w:ascii="仿宋" w:hAnsi="仿宋" w:eastAsia="仿宋"/>
          <w:sz w:val="30"/>
          <w:szCs w:val="30"/>
          <w:lang w:eastAsia="zh-CN"/>
        </w:rPr>
        <w:t>，</w:t>
      </w:r>
      <w:r>
        <w:rPr>
          <w:rFonts w:hint="eastAsia" w:ascii="仿宋" w:hAnsi="仿宋" w:eastAsia="仿宋"/>
          <w:sz w:val="30"/>
          <w:szCs w:val="30"/>
          <w:lang w:val="en-US" w:eastAsia="zh-CN"/>
        </w:rPr>
        <w:t>年末公务用车保有8辆</w:t>
      </w:r>
      <w:r>
        <w:rPr>
          <w:rFonts w:hint="eastAsia" w:ascii="仿宋" w:hAnsi="仿宋" w:eastAsia="仿宋"/>
          <w:sz w:val="30"/>
          <w:szCs w:val="30"/>
        </w:rPr>
        <w:t>。决算数较年初预算数</w:t>
      </w:r>
      <w:r>
        <w:rPr>
          <w:rFonts w:hint="eastAsia" w:ascii="仿宋" w:hAnsi="仿宋" w:eastAsia="仿宋"/>
          <w:sz w:val="30"/>
          <w:szCs w:val="30"/>
          <w:lang w:eastAsia="zh-CN"/>
        </w:rPr>
        <w:t>无</w:t>
      </w:r>
      <w:r>
        <w:rPr>
          <w:rFonts w:hint="eastAsia" w:ascii="仿宋" w:hAnsi="仿宋" w:eastAsia="仿宋"/>
          <w:sz w:val="30"/>
          <w:szCs w:val="30"/>
        </w:rPr>
        <w:t>增加（减少）</w:t>
      </w:r>
      <w:r>
        <w:rPr>
          <w:rFonts w:hint="eastAsia" w:ascii="仿宋" w:hAnsi="仿宋" w:eastAsia="仿宋"/>
          <w:sz w:val="30"/>
          <w:szCs w:val="30"/>
          <w:lang w:eastAsia="zh-CN"/>
        </w:rPr>
        <w:t>，与年初预算数持平</w:t>
      </w:r>
      <w:r>
        <w:rPr>
          <w:rFonts w:hint="eastAsia" w:ascii="仿宋" w:hAnsi="仿宋" w:eastAsia="仿宋"/>
          <w:sz w:val="30"/>
          <w:szCs w:val="30"/>
        </w:rPr>
        <w:t>。</w:t>
      </w:r>
    </w:p>
    <w:p>
      <w:pPr>
        <w:ind w:firstLine="630"/>
        <w:jc w:val="left"/>
        <w:rPr>
          <w:rFonts w:hint="eastAsia" w:ascii="黑体" w:hAnsi="黑体" w:eastAsia="黑体"/>
          <w:sz w:val="30"/>
          <w:szCs w:val="30"/>
        </w:rPr>
      </w:pPr>
      <w:r>
        <w:rPr>
          <w:rFonts w:hint="eastAsia" w:ascii="黑体" w:hAnsi="黑体" w:eastAsia="黑体"/>
          <w:sz w:val="30"/>
          <w:szCs w:val="30"/>
        </w:rPr>
        <w:t>六、机关运行经费支出情况说明</w:t>
      </w:r>
    </w:p>
    <w:p>
      <w:pPr>
        <w:ind w:firstLine="630"/>
        <w:jc w:val="left"/>
        <w:rPr>
          <w:rFonts w:hint="eastAsia" w:ascii="仿宋" w:hAnsi="仿宋" w:eastAsia="仿宋"/>
          <w:sz w:val="30"/>
          <w:szCs w:val="30"/>
        </w:rPr>
      </w:pPr>
      <w:r>
        <w:rPr>
          <w:rFonts w:hint="eastAsia" w:ascii="仿宋" w:hAnsi="仿宋" w:eastAsia="仿宋"/>
          <w:sz w:val="30"/>
          <w:szCs w:val="30"/>
        </w:rPr>
        <w:t>本部门2020年度机关运行经费支出</w:t>
      </w:r>
      <w:r>
        <w:rPr>
          <w:rFonts w:hint="eastAsia" w:ascii="仿宋" w:hAnsi="仿宋" w:eastAsia="仿宋"/>
          <w:sz w:val="30"/>
          <w:szCs w:val="30"/>
          <w:lang w:val="en-US" w:eastAsia="zh-CN"/>
        </w:rPr>
        <w:t>578.52</w:t>
      </w:r>
      <w:r>
        <w:rPr>
          <w:rFonts w:hint="eastAsia" w:ascii="仿宋" w:hAnsi="仿宋" w:eastAsia="仿宋"/>
          <w:sz w:val="30"/>
          <w:szCs w:val="30"/>
        </w:rPr>
        <w:t>万元，较</w:t>
      </w:r>
      <w:r>
        <w:rPr>
          <w:rFonts w:hint="eastAsia" w:ascii="仿宋" w:hAnsi="仿宋" w:eastAsia="仿宋"/>
          <w:sz w:val="30"/>
          <w:szCs w:val="30"/>
          <w:lang w:val="en-US" w:eastAsia="zh-CN"/>
        </w:rPr>
        <w:t>上年决算数</w:t>
      </w:r>
      <w:r>
        <w:rPr>
          <w:rFonts w:hint="eastAsia" w:ascii="仿宋" w:hAnsi="仿宋" w:eastAsia="仿宋"/>
          <w:sz w:val="30"/>
          <w:szCs w:val="30"/>
        </w:rPr>
        <w:t>增加</w:t>
      </w:r>
      <w:r>
        <w:rPr>
          <w:rFonts w:hint="eastAsia" w:ascii="仿宋" w:hAnsi="仿宋" w:eastAsia="仿宋"/>
          <w:sz w:val="30"/>
          <w:szCs w:val="30"/>
          <w:lang w:val="en-US" w:eastAsia="zh-CN"/>
        </w:rPr>
        <w:t>285.65</w:t>
      </w:r>
      <w:r>
        <w:rPr>
          <w:rFonts w:hint="eastAsia" w:ascii="仿宋" w:hAnsi="仿宋" w:eastAsia="仿宋"/>
          <w:sz w:val="30"/>
          <w:szCs w:val="30"/>
        </w:rPr>
        <w:t>万元，增长</w:t>
      </w:r>
      <w:r>
        <w:rPr>
          <w:rFonts w:hint="eastAsia" w:ascii="仿宋" w:hAnsi="仿宋" w:eastAsia="仿宋"/>
          <w:sz w:val="30"/>
          <w:szCs w:val="30"/>
          <w:lang w:val="en-US" w:eastAsia="zh-CN"/>
        </w:rPr>
        <w:t>97.53</w:t>
      </w:r>
      <w:r>
        <w:rPr>
          <w:rFonts w:hint="eastAsia" w:ascii="仿宋" w:hAnsi="仿宋" w:eastAsia="仿宋"/>
          <w:sz w:val="30"/>
          <w:szCs w:val="30"/>
        </w:rPr>
        <w:t>%，主要原因是：</w:t>
      </w:r>
      <w:r>
        <w:rPr>
          <w:rFonts w:hint="eastAsia" w:ascii="仿宋" w:hAnsi="仿宋" w:eastAsia="仿宋"/>
          <w:sz w:val="30"/>
          <w:szCs w:val="30"/>
          <w:lang w:eastAsia="zh-CN"/>
        </w:rPr>
        <w:t>一是开展松材线虫病疫木清理使劳务费大大提高，二是其他商品和</w:t>
      </w:r>
      <w:r>
        <w:rPr>
          <w:rFonts w:hint="eastAsia" w:ascii="仿宋" w:hAnsi="仿宋" w:eastAsia="仿宋"/>
          <w:sz w:val="30"/>
          <w:szCs w:val="30"/>
          <w:lang w:val="en-US" w:eastAsia="zh-CN"/>
        </w:rPr>
        <w:t>服务支出增加</w:t>
      </w:r>
      <w:r>
        <w:rPr>
          <w:rFonts w:hint="eastAsia" w:ascii="仿宋" w:hAnsi="仿宋" w:eastAsia="仿宋"/>
          <w:sz w:val="30"/>
          <w:szCs w:val="30"/>
        </w:rPr>
        <w:t xml:space="preserve">。 </w:t>
      </w:r>
    </w:p>
    <w:p>
      <w:pPr>
        <w:ind w:firstLine="630"/>
        <w:jc w:val="left"/>
        <w:rPr>
          <w:rFonts w:ascii="黑体" w:hAnsi="黑体" w:eastAsia="黑体"/>
          <w:sz w:val="30"/>
          <w:szCs w:val="30"/>
        </w:rPr>
      </w:pPr>
      <w:r>
        <w:rPr>
          <w:rFonts w:hint="eastAsia" w:ascii="仿宋" w:hAnsi="仿宋" w:eastAsia="仿宋"/>
          <w:sz w:val="30"/>
          <w:szCs w:val="30"/>
        </w:rPr>
        <w:t xml:space="preserve"> </w:t>
      </w:r>
      <w:r>
        <w:rPr>
          <w:rFonts w:hint="eastAsia" w:ascii="黑体" w:hAnsi="黑体" w:eastAsia="黑体"/>
          <w:sz w:val="30"/>
          <w:szCs w:val="30"/>
        </w:rPr>
        <w:t>七、政府采购支出情况说明</w:t>
      </w:r>
    </w:p>
    <w:p>
      <w:pPr>
        <w:pStyle w:val="5"/>
        <w:spacing w:line="600" w:lineRule="atLeast"/>
        <w:ind w:firstLine="600"/>
        <w:rPr>
          <w:rFonts w:hint="eastAsia" w:ascii="仿宋" w:hAnsi="仿宋" w:eastAsia="仿宋"/>
          <w:sz w:val="30"/>
          <w:szCs w:val="30"/>
        </w:rPr>
      </w:pPr>
      <w:r>
        <w:rPr>
          <w:rFonts w:hint="eastAsia" w:ascii="仿宋" w:hAnsi="仿宋" w:eastAsia="仿宋"/>
          <w:sz w:val="30"/>
          <w:szCs w:val="30"/>
        </w:rPr>
        <w:t>本部门2020年度政府采购支出总额</w:t>
      </w:r>
      <w:r>
        <w:rPr>
          <w:rFonts w:hint="eastAsia" w:ascii="仿宋" w:hAnsi="仿宋" w:eastAsia="仿宋"/>
          <w:sz w:val="30"/>
          <w:szCs w:val="30"/>
          <w:lang w:val="en-US" w:eastAsia="zh-CN"/>
        </w:rPr>
        <w:t>4514.88</w:t>
      </w:r>
      <w:r>
        <w:rPr>
          <w:rFonts w:hint="eastAsia" w:ascii="仿宋" w:hAnsi="仿宋" w:eastAsia="仿宋"/>
          <w:sz w:val="30"/>
          <w:szCs w:val="30"/>
        </w:rPr>
        <w:t>万元，其中：政府采购货物支出</w:t>
      </w:r>
      <w:r>
        <w:rPr>
          <w:rFonts w:hint="eastAsia" w:ascii="仿宋" w:hAnsi="仿宋" w:eastAsia="仿宋"/>
          <w:sz w:val="30"/>
          <w:szCs w:val="30"/>
          <w:lang w:val="en-US" w:eastAsia="zh-CN"/>
        </w:rPr>
        <w:t>0</w:t>
      </w:r>
      <w:r>
        <w:rPr>
          <w:rFonts w:hint="eastAsia" w:ascii="仿宋" w:hAnsi="仿宋" w:eastAsia="仿宋"/>
          <w:sz w:val="30"/>
          <w:szCs w:val="30"/>
        </w:rPr>
        <w:t>万元、政府采购工程支出</w:t>
      </w:r>
      <w:r>
        <w:rPr>
          <w:rFonts w:hint="eastAsia" w:ascii="仿宋" w:hAnsi="仿宋" w:eastAsia="仿宋"/>
          <w:sz w:val="30"/>
          <w:szCs w:val="30"/>
          <w:lang w:val="en-US" w:eastAsia="zh-CN"/>
        </w:rPr>
        <w:t>4514.88</w:t>
      </w:r>
      <w:r>
        <w:rPr>
          <w:rFonts w:hint="eastAsia" w:ascii="仿宋" w:hAnsi="仿宋" w:eastAsia="仿宋"/>
          <w:sz w:val="30"/>
          <w:szCs w:val="30"/>
        </w:rPr>
        <w:t>万元、政府采购服务支出</w:t>
      </w:r>
      <w:r>
        <w:rPr>
          <w:rFonts w:hint="eastAsia" w:ascii="仿宋" w:hAnsi="仿宋" w:eastAsia="仿宋"/>
          <w:sz w:val="30"/>
          <w:szCs w:val="30"/>
          <w:lang w:val="en-US" w:eastAsia="zh-CN"/>
        </w:rPr>
        <w:t>0</w:t>
      </w:r>
      <w:r>
        <w:rPr>
          <w:rFonts w:hint="eastAsia" w:ascii="仿宋" w:hAnsi="仿宋" w:eastAsia="仿宋"/>
          <w:sz w:val="30"/>
          <w:szCs w:val="30"/>
        </w:rPr>
        <w:t>万元。授予中小企业合同金额</w:t>
      </w:r>
      <w:r>
        <w:rPr>
          <w:rFonts w:hint="eastAsia" w:ascii="仿宋" w:hAnsi="仿宋" w:eastAsia="仿宋"/>
          <w:sz w:val="30"/>
          <w:szCs w:val="30"/>
          <w:lang w:val="en-US" w:eastAsia="zh-CN"/>
        </w:rPr>
        <w:t>0</w:t>
      </w:r>
      <w:r>
        <w:rPr>
          <w:rFonts w:hint="eastAsia" w:ascii="仿宋" w:hAnsi="仿宋" w:eastAsia="仿宋"/>
          <w:sz w:val="30"/>
          <w:szCs w:val="30"/>
        </w:rPr>
        <w:t>万元，占政府采购支出总额的</w:t>
      </w:r>
      <w:r>
        <w:rPr>
          <w:rFonts w:hint="eastAsia" w:ascii="仿宋" w:hAnsi="仿宋" w:eastAsia="仿宋"/>
          <w:sz w:val="30"/>
          <w:szCs w:val="30"/>
          <w:lang w:val="en-US" w:eastAsia="zh-CN"/>
        </w:rPr>
        <w:t>0</w:t>
      </w:r>
      <w:r>
        <w:rPr>
          <w:rFonts w:hint="eastAsia" w:ascii="仿宋" w:hAnsi="仿宋" w:eastAsia="仿宋"/>
          <w:sz w:val="30"/>
          <w:szCs w:val="30"/>
        </w:rPr>
        <w:t>%，其中：授予小微企业合同金额</w:t>
      </w:r>
      <w:r>
        <w:rPr>
          <w:rFonts w:hint="eastAsia" w:ascii="仿宋" w:hAnsi="仿宋" w:eastAsia="仿宋"/>
          <w:sz w:val="30"/>
          <w:szCs w:val="30"/>
          <w:lang w:val="en-US" w:eastAsia="zh-CN"/>
        </w:rPr>
        <w:t>0</w:t>
      </w:r>
      <w:r>
        <w:rPr>
          <w:rFonts w:hint="eastAsia" w:ascii="仿宋" w:hAnsi="仿宋" w:eastAsia="仿宋"/>
          <w:sz w:val="30"/>
          <w:szCs w:val="30"/>
        </w:rPr>
        <w:t>万元，占政府采购支出总额的</w:t>
      </w:r>
      <w:r>
        <w:rPr>
          <w:rFonts w:hint="eastAsia" w:ascii="仿宋" w:hAnsi="仿宋" w:eastAsia="仿宋"/>
          <w:sz w:val="30"/>
          <w:szCs w:val="30"/>
          <w:lang w:val="en-US" w:eastAsia="zh-CN"/>
        </w:rPr>
        <w:t>0</w:t>
      </w:r>
      <w:r>
        <w:rPr>
          <w:rFonts w:hint="eastAsia" w:ascii="仿宋" w:hAnsi="仿宋" w:eastAsia="仿宋"/>
          <w:sz w:val="30"/>
          <w:szCs w:val="30"/>
        </w:rPr>
        <w:t>%。</w:t>
      </w:r>
    </w:p>
    <w:p>
      <w:pPr>
        <w:ind w:firstLine="630"/>
        <w:jc w:val="left"/>
        <w:rPr>
          <w:rFonts w:hint="eastAsia" w:ascii="黑体" w:hAnsi="黑体" w:eastAsia="黑体"/>
          <w:sz w:val="30"/>
          <w:szCs w:val="30"/>
        </w:rPr>
      </w:pPr>
      <w:r>
        <w:rPr>
          <w:rFonts w:hint="eastAsia" w:ascii="黑体" w:hAnsi="黑体" w:eastAsia="黑体"/>
          <w:sz w:val="30"/>
          <w:szCs w:val="30"/>
        </w:rPr>
        <w:t>八、国有资产占用情况说明。</w:t>
      </w:r>
    </w:p>
    <w:p>
      <w:pPr>
        <w:ind w:firstLine="630"/>
        <w:jc w:val="left"/>
        <w:rPr>
          <w:rFonts w:hint="eastAsia" w:ascii="仿宋" w:hAnsi="仿宋" w:eastAsia="仿宋"/>
          <w:kern w:val="0"/>
          <w:sz w:val="30"/>
          <w:szCs w:val="30"/>
        </w:rPr>
      </w:pPr>
      <w:r>
        <w:rPr>
          <w:rFonts w:hint="eastAsia" w:ascii="仿宋" w:hAnsi="仿宋" w:eastAsia="仿宋"/>
          <w:kern w:val="0"/>
          <w:sz w:val="30"/>
          <w:szCs w:val="30"/>
        </w:rPr>
        <w:t>截止2020年12月31日，本部门国有资产占用情况见</w:t>
      </w:r>
      <w:r>
        <w:rPr>
          <w:rFonts w:hint="eastAsia" w:ascii="仿宋" w:hAnsi="仿宋" w:eastAsia="仿宋"/>
          <w:kern w:val="0"/>
          <w:sz w:val="30"/>
          <w:szCs w:val="30"/>
          <w:lang w:val="en-US" w:eastAsia="zh-CN"/>
        </w:rPr>
        <w:t>公开10</w:t>
      </w:r>
      <w:r>
        <w:rPr>
          <w:rFonts w:hint="eastAsia" w:ascii="仿宋" w:hAnsi="仿宋" w:eastAsia="仿宋"/>
          <w:kern w:val="0"/>
          <w:sz w:val="30"/>
          <w:szCs w:val="30"/>
        </w:rPr>
        <w:t>表《国有资产占用情况表》。其中车辆中的其他用车主要是</w:t>
      </w:r>
      <w:r>
        <w:rPr>
          <w:rFonts w:hint="eastAsia" w:ascii="仿宋" w:hAnsi="仿宋" w:eastAsia="仿宋"/>
          <w:kern w:val="0"/>
          <w:sz w:val="30"/>
          <w:szCs w:val="30"/>
          <w:lang w:eastAsia="zh-CN"/>
        </w:rPr>
        <w:t>：无其他用车</w:t>
      </w:r>
      <w:r>
        <w:rPr>
          <w:rFonts w:hint="eastAsia" w:ascii="仿宋" w:hAnsi="仿宋" w:eastAsia="仿宋"/>
          <w:kern w:val="0"/>
          <w:sz w:val="30"/>
          <w:szCs w:val="30"/>
        </w:rPr>
        <w:t>。</w:t>
      </w:r>
    </w:p>
    <w:p>
      <w:pPr>
        <w:ind w:firstLine="630"/>
        <w:jc w:val="left"/>
        <w:rPr>
          <w:rFonts w:hint="eastAsia" w:ascii="黑体" w:hAnsi="黑体" w:eastAsia="黑体"/>
          <w:sz w:val="30"/>
          <w:szCs w:val="30"/>
        </w:rPr>
      </w:pPr>
      <w:r>
        <w:rPr>
          <w:rFonts w:hint="eastAsia" w:ascii="黑体" w:hAnsi="黑体" w:eastAsia="黑体"/>
          <w:sz w:val="30"/>
          <w:szCs w:val="30"/>
        </w:rPr>
        <w:t>九、预算绩效情况说明</w:t>
      </w:r>
    </w:p>
    <w:p>
      <w:pPr>
        <w:autoSpaceDE w:val="0"/>
        <w:autoSpaceDN w:val="0"/>
        <w:adjustRightInd w:val="0"/>
        <w:spacing w:line="360" w:lineRule="auto"/>
        <w:jc w:val="left"/>
        <w:rPr>
          <w:rFonts w:hint="eastAsia" w:ascii="仿宋" w:hAnsi="仿宋" w:eastAsia="仿宋" w:cs="仿宋_GB2312"/>
          <w:kern w:val="0"/>
          <w:sz w:val="30"/>
          <w:szCs w:val="30"/>
        </w:rPr>
      </w:pPr>
      <w:r>
        <w:rPr>
          <w:rFonts w:hint="eastAsia" w:ascii="仿宋" w:hAnsi="仿宋" w:eastAsia="仿宋" w:cs="仿宋_GB2312"/>
          <w:kern w:val="0"/>
          <w:sz w:val="30"/>
          <w:szCs w:val="30"/>
        </w:rPr>
        <w:t xml:space="preserve">   （一）绩效管理工作开展情况。</w:t>
      </w:r>
    </w:p>
    <w:p>
      <w:pPr>
        <w:autoSpaceDE w:val="0"/>
        <w:autoSpaceDN w:val="0"/>
        <w:adjustRightInd w:val="0"/>
        <w:spacing w:line="360" w:lineRule="auto"/>
        <w:ind w:firstLine="600" w:firstLineChars="200"/>
        <w:jc w:val="left"/>
        <w:rPr>
          <w:rFonts w:hint="eastAsia" w:ascii="仿宋" w:hAnsi="仿宋" w:eastAsia="仿宋" w:cs="仿宋_GB2312"/>
          <w:kern w:val="0"/>
          <w:sz w:val="30"/>
          <w:szCs w:val="30"/>
        </w:rPr>
      </w:pPr>
      <w:r>
        <w:rPr>
          <w:rFonts w:hint="eastAsia" w:ascii="仿宋" w:hAnsi="仿宋" w:eastAsia="仿宋" w:cs="仿宋_GB2312"/>
          <w:kern w:val="0"/>
          <w:sz w:val="30"/>
          <w:szCs w:val="30"/>
        </w:rPr>
        <w:t>根据预算绩效管理要求，我部门组织对</w:t>
      </w:r>
      <w:r>
        <w:rPr>
          <w:rFonts w:ascii="仿宋" w:hAnsi="仿宋" w:eastAsia="仿宋" w:cs="仿宋_GB2312"/>
          <w:kern w:val="0"/>
          <w:sz w:val="30"/>
          <w:szCs w:val="30"/>
        </w:rPr>
        <w:t>20</w:t>
      </w:r>
      <w:r>
        <w:rPr>
          <w:rFonts w:hint="eastAsia" w:ascii="仿宋" w:hAnsi="仿宋" w:eastAsia="仿宋" w:cs="仿宋_GB2312"/>
          <w:kern w:val="0"/>
          <w:sz w:val="30"/>
          <w:szCs w:val="30"/>
        </w:rPr>
        <w:t>20年度一般公共预算项目支出</w:t>
      </w:r>
      <w:r>
        <w:rPr>
          <w:rFonts w:hint="eastAsia" w:ascii="仿宋" w:hAnsi="仿宋" w:eastAsia="仿宋" w:cs="仿宋_GB2312"/>
          <w:kern w:val="0"/>
          <w:sz w:val="30"/>
          <w:szCs w:val="30"/>
          <w:lang w:val="en-US" w:eastAsia="zh-CN"/>
        </w:rPr>
        <w:t>所有二级项目二个</w:t>
      </w:r>
      <w:r>
        <w:rPr>
          <w:rFonts w:hint="eastAsia" w:ascii="仿宋" w:hAnsi="仿宋" w:eastAsia="仿宋" w:cs="仿宋_GB2312"/>
          <w:kern w:val="0"/>
          <w:sz w:val="30"/>
          <w:szCs w:val="30"/>
        </w:rPr>
        <w:t>全面开展绩效自评，共涉及资金</w:t>
      </w:r>
      <w:r>
        <w:rPr>
          <w:rFonts w:hint="eastAsia" w:ascii="仿宋" w:hAnsi="仿宋" w:eastAsia="仿宋" w:cs="仿宋_GB2312"/>
          <w:kern w:val="0"/>
          <w:sz w:val="30"/>
          <w:szCs w:val="30"/>
          <w:lang w:val="en-US" w:eastAsia="zh-CN"/>
        </w:rPr>
        <w:t>7307</w:t>
      </w:r>
      <w:r>
        <w:rPr>
          <w:rFonts w:hint="eastAsia" w:ascii="仿宋" w:hAnsi="仿宋" w:eastAsia="仿宋" w:cs="仿宋_GB2312"/>
          <w:kern w:val="0"/>
          <w:sz w:val="30"/>
          <w:szCs w:val="30"/>
        </w:rPr>
        <w:t>万元，占一般公共预算项目支出总额的</w:t>
      </w:r>
      <w:r>
        <w:rPr>
          <w:rFonts w:hint="eastAsia" w:ascii="仿宋" w:hAnsi="仿宋" w:eastAsia="仿宋" w:cs="仿宋_GB2312"/>
          <w:kern w:val="0"/>
          <w:sz w:val="30"/>
          <w:szCs w:val="30"/>
          <w:lang w:val="en-US" w:eastAsia="zh-CN"/>
        </w:rPr>
        <w:t>46.72</w:t>
      </w:r>
      <w:r>
        <w:rPr>
          <w:rFonts w:hint="eastAsia" w:ascii="仿宋" w:hAnsi="仿宋" w:eastAsia="仿宋" w:cs="仿宋_GB2312"/>
          <w:kern w:val="0"/>
          <w:sz w:val="30"/>
          <w:szCs w:val="30"/>
        </w:rPr>
        <w:t xml:space="preserve">%。    </w:t>
      </w:r>
    </w:p>
    <w:p>
      <w:pPr>
        <w:autoSpaceDE w:val="0"/>
        <w:autoSpaceDN w:val="0"/>
        <w:adjustRightInd w:val="0"/>
        <w:spacing w:line="360" w:lineRule="auto"/>
        <w:ind w:firstLine="600"/>
        <w:jc w:val="left"/>
        <w:rPr>
          <w:rFonts w:hint="eastAsia" w:ascii="仿宋" w:hAnsi="仿宋" w:eastAsia="仿宋" w:cs="仿宋_GB2312"/>
          <w:kern w:val="0"/>
          <w:sz w:val="30"/>
          <w:szCs w:val="30"/>
        </w:rPr>
      </w:pPr>
      <w:r>
        <w:rPr>
          <w:rFonts w:hint="eastAsia" w:ascii="仿宋" w:hAnsi="仿宋" w:eastAsia="仿宋" w:cs="仿宋_GB2312"/>
          <w:kern w:val="0"/>
          <w:sz w:val="30"/>
          <w:szCs w:val="30"/>
        </w:rPr>
        <w:t>组织对森防经费、低质低效林改造等</w:t>
      </w:r>
      <w:r>
        <w:rPr>
          <w:rFonts w:hint="eastAsia" w:ascii="仿宋" w:hAnsi="仿宋" w:eastAsia="仿宋" w:cs="仿宋_GB2312"/>
          <w:kern w:val="0"/>
          <w:sz w:val="30"/>
          <w:szCs w:val="30"/>
          <w:lang w:eastAsia="zh-CN"/>
        </w:rPr>
        <w:t>两</w:t>
      </w:r>
      <w:r>
        <w:rPr>
          <w:rFonts w:hint="eastAsia" w:ascii="仿宋" w:hAnsi="仿宋" w:eastAsia="仿宋" w:cs="仿宋_GB2312"/>
          <w:kern w:val="0"/>
          <w:sz w:val="30"/>
          <w:szCs w:val="30"/>
        </w:rPr>
        <w:t>个项目开展了部门评价，涉及一般公共预算支出</w:t>
      </w:r>
      <w:r>
        <w:rPr>
          <w:rFonts w:hint="eastAsia" w:ascii="仿宋" w:hAnsi="仿宋" w:eastAsia="仿宋" w:cs="仿宋_GB2312"/>
          <w:kern w:val="0"/>
          <w:sz w:val="30"/>
          <w:szCs w:val="30"/>
          <w:lang w:val="en-US" w:eastAsia="zh-CN"/>
        </w:rPr>
        <w:t>7307</w:t>
      </w:r>
      <w:r>
        <w:rPr>
          <w:rFonts w:hint="eastAsia" w:ascii="仿宋" w:hAnsi="仿宋" w:eastAsia="仿宋" w:cs="仿宋_GB2312"/>
          <w:kern w:val="0"/>
          <w:sz w:val="30"/>
          <w:szCs w:val="30"/>
        </w:rPr>
        <w:t>万元</w:t>
      </w:r>
      <w:r>
        <w:rPr>
          <w:rFonts w:hint="eastAsia" w:ascii="仿宋" w:hAnsi="仿宋" w:eastAsia="仿宋" w:cs="仿宋_GB2312"/>
          <w:kern w:val="0"/>
          <w:sz w:val="30"/>
          <w:szCs w:val="30"/>
          <w:lang w:eastAsia="zh-CN"/>
        </w:rPr>
        <w:t>，</w:t>
      </w:r>
      <w:r>
        <w:rPr>
          <w:rFonts w:hint="eastAsia" w:ascii="仿宋" w:hAnsi="仿宋" w:eastAsia="仿宋" w:cs="仿宋_GB2312"/>
          <w:kern w:val="0"/>
          <w:sz w:val="30"/>
          <w:szCs w:val="30"/>
          <w:lang w:val="en-US" w:eastAsia="zh-CN"/>
        </w:rPr>
        <w:t>政府性基金预算支出0万元</w:t>
      </w:r>
      <w:r>
        <w:rPr>
          <w:rFonts w:hint="eastAsia" w:ascii="仿宋" w:hAnsi="仿宋" w:eastAsia="仿宋" w:cs="仿宋_GB2312"/>
          <w:kern w:val="0"/>
          <w:sz w:val="30"/>
          <w:szCs w:val="30"/>
        </w:rPr>
        <w:t>。其中，对森防经费、低质低效林改造项目委托赣州天平联合会计师事务所开展</w:t>
      </w:r>
      <w:r>
        <w:rPr>
          <w:rFonts w:hint="eastAsia" w:ascii="仿宋" w:hAnsi="仿宋" w:eastAsia="仿宋" w:cs="宋体"/>
          <w:kern w:val="0"/>
          <w:sz w:val="30"/>
          <w:szCs w:val="30"/>
        </w:rPr>
        <w:t>绩效评价</w:t>
      </w:r>
      <w:r>
        <w:rPr>
          <w:rFonts w:hint="eastAsia" w:ascii="仿宋" w:hAnsi="仿宋" w:eastAsia="仿宋" w:cs="仿宋_GB2312"/>
          <w:kern w:val="0"/>
          <w:sz w:val="30"/>
          <w:szCs w:val="30"/>
        </w:rPr>
        <w:t>。从评价情况来看，项目的实施在一定程度上降低了全县林业有害物成灾率，在生态系统平衡方面、松材 线虫病的入侵及扩散蔓延方面得到了改善，项目绩效评价得分为64分，绩效评价等级为中。</w:t>
      </w:r>
    </w:p>
    <w:p>
      <w:pPr>
        <w:autoSpaceDE w:val="0"/>
        <w:autoSpaceDN w:val="0"/>
        <w:adjustRightInd w:val="0"/>
        <w:spacing w:line="360" w:lineRule="auto"/>
        <w:ind w:firstLine="600" w:firstLineChars="200"/>
        <w:jc w:val="left"/>
        <w:rPr>
          <w:rFonts w:ascii="仿宋" w:hAnsi="仿宋" w:eastAsia="仿宋" w:cs="仿宋_GB2312"/>
          <w:kern w:val="0"/>
          <w:sz w:val="30"/>
          <w:szCs w:val="30"/>
        </w:rPr>
      </w:pPr>
      <w:r>
        <w:rPr>
          <w:rFonts w:hint="eastAsia" w:ascii="仿宋" w:hAnsi="仿宋" w:eastAsia="仿宋" w:cs="仿宋_GB2312"/>
          <w:kern w:val="0"/>
          <w:sz w:val="30"/>
          <w:szCs w:val="30"/>
        </w:rPr>
        <w:t>组织对</w:t>
      </w:r>
      <w:r>
        <w:rPr>
          <w:rFonts w:hint="eastAsia" w:ascii="仿宋" w:hAnsi="仿宋" w:eastAsia="仿宋" w:cs="仿宋_GB2312"/>
          <w:kern w:val="0"/>
          <w:sz w:val="30"/>
          <w:szCs w:val="30"/>
          <w:lang w:val="en-US" w:eastAsia="zh-CN"/>
        </w:rPr>
        <w:t>部门本级</w:t>
      </w:r>
      <w:r>
        <w:rPr>
          <w:rFonts w:hint="eastAsia" w:ascii="仿宋" w:hAnsi="仿宋" w:eastAsia="仿宋" w:cs="仿宋_GB2312"/>
          <w:kern w:val="0"/>
          <w:sz w:val="30"/>
          <w:szCs w:val="30"/>
        </w:rPr>
        <w:t>开展</w:t>
      </w:r>
      <w:r>
        <w:rPr>
          <w:rFonts w:hint="eastAsia" w:ascii="仿宋" w:hAnsi="仿宋" w:eastAsia="仿宋" w:cs="仿宋_GB2312"/>
          <w:kern w:val="0"/>
          <w:sz w:val="30"/>
          <w:szCs w:val="30"/>
          <w:lang w:val="en-US" w:eastAsia="zh-CN"/>
        </w:rPr>
        <w:t>整体支出绩效评价试点</w:t>
      </w:r>
      <w:r>
        <w:rPr>
          <w:rFonts w:hint="eastAsia" w:ascii="仿宋" w:hAnsi="仿宋" w:eastAsia="仿宋" w:cs="仿宋_GB2312"/>
          <w:kern w:val="0"/>
          <w:sz w:val="30"/>
          <w:szCs w:val="30"/>
        </w:rPr>
        <w:t>，涉及一般公共预算支出6585.04万元</w:t>
      </w:r>
      <w:r>
        <w:rPr>
          <w:rFonts w:hint="eastAsia" w:ascii="仿宋" w:hAnsi="仿宋" w:eastAsia="仿宋" w:cs="仿宋_GB2312"/>
          <w:kern w:val="0"/>
          <w:sz w:val="30"/>
          <w:szCs w:val="30"/>
          <w:lang w:eastAsia="zh-CN"/>
        </w:rPr>
        <w:t>，</w:t>
      </w:r>
      <w:r>
        <w:rPr>
          <w:rFonts w:hint="eastAsia" w:ascii="仿宋" w:hAnsi="仿宋" w:eastAsia="仿宋" w:cs="仿宋_GB2312"/>
          <w:kern w:val="0"/>
          <w:sz w:val="30"/>
          <w:szCs w:val="30"/>
          <w:lang w:val="en-US" w:eastAsia="zh-CN"/>
        </w:rPr>
        <w:t>政府性基金预算支出0万元</w:t>
      </w:r>
      <w:r>
        <w:rPr>
          <w:rFonts w:hint="eastAsia" w:ascii="仿宋" w:hAnsi="仿宋" w:eastAsia="仿宋" w:cs="仿宋_GB2312"/>
          <w:kern w:val="0"/>
          <w:sz w:val="30"/>
          <w:szCs w:val="30"/>
        </w:rPr>
        <w:t>。</w:t>
      </w:r>
      <w:r>
        <w:rPr>
          <w:rFonts w:hint="eastAsia" w:ascii="仿宋" w:hAnsi="仿宋" w:eastAsia="仿宋" w:cs="仿宋_GB2312"/>
          <w:kern w:val="0"/>
          <w:sz w:val="30"/>
          <w:szCs w:val="30"/>
          <w:lang w:eastAsia="zh-CN"/>
        </w:rPr>
        <w:t>未委托</w:t>
      </w:r>
      <w:r>
        <w:rPr>
          <w:rFonts w:hint="eastAsia" w:ascii="仿宋" w:hAnsi="仿宋" w:eastAsia="仿宋" w:cs="仿宋_GB2312"/>
          <w:kern w:val="0"/>
          <w:sz w:val="30"/>
          <w:szCs w:val="30"/>
        </w:rPr>
        <w:t>第三方机构开展</w:t>
      </w:r>
      <w:r>
        <w:rPr>
          <w:rFonts w:hint="eastAsia" w:ascii="仿宋" w:hAnsi="仿宋" w:eastAsia="仿宋" w:cs="宋体"/>
          <w:kern w:val="0"/>
          <w:sz w:val="30"/>
          <w:szCs w:val="30"/>
        </w:rPr>
        <w:t>绩效评价</w:t>
      </w:r>
      <w:r>
        <w:rPr>
          <w:rFonts w:hint="eastAsia" w:ascii="仿宋" w:hAnsi="仿宋" w:eastAsia="仿宋" w:cs="仿宋_GB2312"/>
          <w:kern w:val="0"/>
          <w:sz w:val="30"/>
          <w:szCs w:val="30"/>
        </w:rPr>
        <w:t>。根据</w:t>
      </w:r>
      <w:r>
        <w:rPr>
          <w:rFonts w:hint="eastAsia" w:ascii="仿宋" w:hAnsi="仿宋" w:eastAsia="仿宋" w:cs="仿宋_GB2312"/>
          <w:kern w:val="0"/>
          <w:sz w:val="30"/>
          <w:szCs w:val="30"/>
          <w:lang w:eastAsia="zh-CN"/>
        </w:rPr>
        <w:t>我局</w:t>
      </w:r>
      <w:r>
        <w:rPr>
          <w:rFonts w:hint="eastAsia" w:ascii="仿宋" w:hAnsi="仿宋" w:eastAsia="仿宋" w:cs="仿宋_GB2312"/>
          <w:kern w:val="0"/>
          <w:sz w:val="30"/>
          <w:szCs w:val="30"/>
        </w:rPr>
        <w:t>绩效评价小组综合评价，我部门2020年度整体支出评价得分为97.5分，评价等级为优。</w:t>
      </w:r>
    </w:p>
    <w:p>
      <w:pPr>
        <w:autoSpaceDE w:val="0"/>
        <w:autoSpaceDN w:val="0"/>
        <w:adjustRightInd w:val="0"/>
        <w:spacing w:line="360" w:lineRule="auto"/>
        <w:ind w:firstLine="585"/>
        <w:jc w:val="left"/>
        <w:rPr>
          <w:rFonts w:hint="default" w:ascii="仿宋" w:hAnsi="仿宋" w:eastAsia="仿宋" w:cs="仿宋_GB2312"/>
          <w:kern w:val="0"/>
          <w:sz w:val="30"/>
          <w:szCs w:val="30"/>
          <w:lang w:val="en-US" w:eastAsia="zh-CN"/>
        </w:rPr>
      </w:pPr>
      <w:r>
        <w:rPr>
          <w:rFonts w:hint="eastAsia" w:ascii="仿宋" w:hAnsi="仿宋" w:eastAsia="仿宋" w:cs="仿宋_GB2312"/>
          <w:kern w:val="0"/>
          <w:sz w:val="30"/>
          <w:szCs w:val="30"/>
        </w:rPr>
        <w:t>（二）部门决算中项目绩效自评结果。</w:t>
      </w:r>
      <w:r>
        <w:rPr>
          <w:rFonts w:hint="eastAsia" w:ascii="仿宋" w:hAnsi="仿宋" w:eastAsia="仿宋" w:cs="仿宋_GB2312"/>
          <w:kern w:val="0"/>
          <w:sz w:val="30"/>
          <w:szCs w:val="30"/>
          <w:lang w:eastAsia="zh-CN"/>
        </w:rPr>
        <w:t>（</w:t>
      </w:r>
      <w:r>
        <w:rPr>
          <w:rFonts w:hint="eastAsia" w:ascii="仿宋" w:hAnsi="仿宋" w:eastAsia="仿宋" w:cs="仿宋_GB2312"/>
          <w:kern w:val="0"/>
          <w:sz w:val="30"/>
          <w:szCs w:val="30"/>
          <w:lang w:val="en-US" w:eastAsia="zh-CN"/>
        </w:rPr>
        <w:t>应当将2020年度部门决算项目绩效自评综述和《项目支出绩效自评表》进行公开。）</w:t>
      </w:r>
    </w:p>
    <w:p>
      <w:pPr>
        <w:autoSpaceDE w:val="0"/>
        <w:autoSpaceDN w:val="0"/>
        <w:adjustRightInd w:val="0"/>
        <w:spacing w:line="360" w:lineRule="auto"/>
        <w:ind w:firstLine="585"/>
        <w:jc w:val="left"/>
        <w:rPr>
          <w:rFonts w:hint="eastAsia" w:ascii="仿宋" w:hAnsi="仿宋" w:eastAsia="仿宋" w:cs="仿宋_GB2312"/>
          <w:kern w:val="0"/>
          <w:sz w:val="30"/>
          <w:szCs w:val="30"/>
        </w:rPr>
      </w:pPr>
      <w:r>
        <w:rPr>
          <w:rFonts w:hint="eastAsia" w:ascii="仿宋" w:hAnsi="仿宋" w:eastAsia="仿宋" w:cs="仿宋_GB2312"/>
          <w:kern w:val="0"/>
          <w:sz w:val="30"/>
          <w:szCs w:val="30"/>
        </w:rPr>
        <w:t>我部门今年在部门决算中反映森防经费</w:t>
      </w:r>
      <w:r>
        <w:rPr>
          <w:rFonts w:hint="eastAsia" w:ascii="仿宋" w:hAnsi="仿宋" w:eastAsia="仿宋" w:cs="仿宋_GB2312"/>
          <w:kern w:val="0"/>
          <w:sz w:val="30"/>
          <w:szCs w:val="30"/>
          <w:lang w:eastAsia="zh-CN"/>
        </w:rPr>
        <w:t>、</w:t>
      </w:r>
      <w:r>
        <w:rPr>
          <w:rFonts w:hint="eastAsia" w:ascii="仿宋" w:hAnsi="仿宋" w:eastAsia="仿宋" w:cs="仿宋_GB2312"/>
          <w:kern w:val="0"/>
          <w:sz w:val="30"/>
          <w:szCs w:val="30"/>
        </w:rPr>
        <w:t>低质低效林改造项目绩效自评结果。</w:t>
      </w:r>
    </w:p>
    <w:p>
      <w:pPr>
        <w:autoSpaceDE w:val="0"/>
        <w:autoSpaceDN w:val="0"/>
        <w:adjustRightInd w:val="0"/>
        <w:spacing w:line="360" w:lineRule="auto"/>
        <w:ind w:firstLine="585"/>
        <w:jc w:val="left"/>
        <w:rPr>
          <w:rFonts w:hint="eastAsia" w:ascii="仿宋" w:hAnsi="仿宋" w:eastAsia="仿宋" w:cs="仿宋_GB2312"/>
          <w:kern w:val="0"/>
          <w:sz w:val="30"/>
          <w:szCs w:val="30"/>
        </w:rPr>
      </w:pPr>
      <w:r>
        <w:rPr>
          <w:rFonts w:hint="eastAsia" w:ascii="仿宋" w:hAnsi="仿宋" w:eastAsia="仿宋" w:cs="仿宋_GB2312"/>
          <w:kern w:val="0"/>
          <w:sz w:val="30"/>
          <w:szCs w:val="30"/>
        </w:rPr>
        <w:t>项目绩效自评</w:t>
      </w:r>
      <w:r>
        <w:rPr>
          <w:rFonts w:hint="eastAsia" w:ascii="仿宋" w:hAnsi="仿宋" w:eastAsia="仿宋" w:cs="仿宋_GB2312"/>
          <w:kern w:val="0"/>
          <w:sz w:val="30"/>
          <w:szCs w:val="30"/>
          <w:lang w:val="en-US" w:eastAsia="zh-CN"/>
        </w:rPr>
        <w:t>总体</w:t>
      </w:r>
      <w:r>
        <w:rPr>
          <w:rFonts w:hint="eastAsia" w:ascii="仿宋" w:hAnsi="仿宋" w:eastAsia="仿宋" w:cs="仿宋_GB2312"/>
          <w:kern w:val="0"/>
          <w:sz w:val="30"/>
          <w:szCs w:val="30"/>
        </w:rPr>
        <w:t>综述：根据年初设定的绩效目标，通过实地自查，</w:t>
      </w:r>
      <w:r>
        <w:rPr>
          <w:rFonts w:hint="eastAsia" w:ascii="仿宋" w:hAnsi="仿宋" w:eastAsia="仿宋" w:cs="仿宋_GB2312"/>
          <w:b/>
          <w:bCs/>
          <w:kern w:val="0"/>
          <w:sz w:val="30"/>
          <w:szCs w:val="30"/>
        </w:rPr>
        <w:t>低质低效林改造项目方面</w:t>
      </w:r>
      <w:r>
        <w:rPr>
          <w:rFonts w:hint="eastAsia" w:ascii="仿宋" w:hAnsi="仿宋" w:eastAsia="仿宋" w:cs="仿宋_GB2312"/>
          <w:kern w:val="0"/>
          <w:sz w:val="30"/>
          <w:szCs w:val="30"/>
        </w:rPr>
        <w:t>，我县共完成建设总面积15.28万亩，占省级下达任务的110%（其中更替改造0.9万亩、补植补造3.13万亩、抚育改造4万亩，封育改造7.25万亩）。建设县级示范点4个，乡级示范点25个，低质低效林改造项目建设小班质量较好，成效明显。</w:t>
      </w:r>
      <w:r>
        <w:rPr>
          <w:rFonts w:hint="eastAsia" w:ascii="仿宋" w:hAnsi="仿宋" w:eastAsia="仿宋" w:cs="仿宋_GB2312"/>
          <w:b/>
          <w:bCs/>
          <w:kern w:val="0"/>
          <w:sz w:val="30"/>
          <w:szCs w:val="30"/>
        </w:rPr>
        <w:t>松材线虫病防控方面</w:t>
      </w:r>
      <w:r>
        <w:rPr>
          <w:rFonts w:hint="eastAsia" w:ascii="仿宋" w:hAnsi="仿宋" w:eastAsia="仿宋" w:cs="仿宋_GB2312"/>
          <w:kern w:val="0"/>
          <w:sz w:val="30"/>
          <w:szCs w:val="30"/>
        </w:rPr>
        <w:t>，我县举全县之力，组织开展松材线虫病防控歼灭战，春季 “百日攻坚”行动共除治疫木5.2万吨。秋季“集中整治”行动中，组织17个乡镇及县应急管理局组成18支除治队伍4500多人，对高铁、高速沿线疫木进行集中清理，共清理病、枯、旱等死松树19.5万株，清理面积17.6万亩。</w:t>
      </w:r>
      <w:r>
        <w:rPr>
          <w:rFonts w:hint="eastAsia" w:ascii="仿宋" w:hAnsi="仿宋" w:eastAsia="仿宋" w:cs="仿宋_GB2312"/>
          <w:b/>
          <w:bCs/>
          <w:kern w:val="0"/>
          <w:sz w:val="30"/>
          <w:szCs w:val="30"/>
        </w:rPr>
        <w:t>发现的问题及原因：</w:t>
      </w:r>
      <w:r>
        <w:rPr>
          <w:rFonts w:hint="eastAsia" w:ascii="仿宋" w:hAnsi="仿宋" w:eastAsia="仿宋" w:cs="仿宋_GB2312"/>
          <w:kern w:val="0"/>
          <w:sz w:val="30"/>
          <w:szCs w:val="30"/>
        </w:rPr>
        <w:t>一是宣传力度不够。少数林农对低质低效林改造和松材线虫病防治认同度不高，认为乡土阔叶树种的经济价值不如脐橙等经济树种高，个别林农阻扰中标单位实施低质低效林改造和松材线虫病防治项目施工。少数林农对松材线虫病的危害认识不足，拾捡疫木树枝回家当柴烧。二是部份山场施工质量不高。由于部分小班立地条件差，石头较多，土层瘠簿，造成整地质量不高，与作业设计要求有差距。个别山头地块松材线虫病疫木除治不彻底，仍有疫情反弹的危险。</w:t>
      </w:r>
      <w:r>
        <w:rPr>
          <w:rFonts w:hint="eastAsia" w:ascii="仿宋" w:hAnsi="仿宋" w:eastAsia="仿宋" w:cs="仿宋_GB2312"/>
          <w:b/>
          <w:bCs/>
          <w:kern w:val="0"/>
          <w:sz w:val="30"/>
          <w:szCs w:val="30"/>
        </w:rPr>
        <w:t>下一步改进措施：</w:t>
      </w:r>
      <w:r>
        <w:rPr>
          <w:rFonts w:hint="eastAsia" w:ascii="仿宋" w:hAnsi="仿宋" w:eastAsia="仿宋" w:cs="仿宋_GB2312"/>
          <w:kern w:val="0"/>
          <w:sz w:val="30"/>
          <w:szCs w:val="30"/>
        </w:rPr>
        <w:t>一是大力做好宣传工作，让全社会都关心、支持、理解低质低效林改造和松材线虫病防治等林业重点项目工作，在全社会营造良好的氛围，减少社会矛盾。二是严格项目审批及实施监管，凡纳入低质低效林改造项目建设的林地，必须严格执行“先规划、后改造，先设计、后施工，先报批、后实施”的原则进行改造。凡纳入松材线虫病防治项目建设的施工队伍，必须要严格按照技术规程和技术标准开展疫木除治。</w:t>
      </w: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r>
        <w:drawing>
          <wp:inline distT="0" distB="0" distL="114300" distR="114300">
            <wp:extent cx="6146165" cy="8649335"/>
            <wp:effectExtent l="0" t="0" r="6985" b="18415"/>
            <wp:docPr id="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pic:cNvPicPr>
                      <a:picLocks noChangeAspect="1"/>
                    </pic:cNvPicPr>
                  </pic:nvPicPr>
                  <pic:blipFill>
                    <a:blip r:embed="rId24"/>
                    <a:stretch>
                      <a:fillRect/>
                    </a:stretch>
                  </pic:blipFill>
                  <pic:spPr>
                    <a:xfrm>
                      <a:off x="0" y="0"/>
                      <a:ext cx="6146165" cy="8649335"/>
                    </a:xfrm>
                    <a:prstGeom prst="rect">
                      <a:avLst/>
                    </a:prstGeom>
                    <a:noFill/>
                    <a:ln>
                      <a:noFill/>
                    </a:ln>
                  </pic:spPr>
                </pic:pic>
              </a:graphicData>
            </a:graphic>
          </wp:inline>
        </w:drawing>
      </w:r>
    </w:p>
    <w:p/>
    <w:p>
      <w:r>
        <w:drawing>
          <wp:inline distT="0" distB="0" distL="114300" distR="114300">
            <wp:extent cx="6118860" cy="8128635"/>
            <wp:effectExtent l="0" t="0" r="15240" b="5715"/>
            <wp:docPr id="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pic:cNvPicPr>
                      <a:picLocks noChangeAspect="1"/>
                    </pic:cNvPicPr>
                  </pic:nvPicPr>
                  <pic:blipFill>
                    <a:blip r:embed="rId25"/>
                    <a:stretch>
                      <a:fillRect/>
                    </a:stretch>
                  </pic:blipFill>
                  <pic:spPr>
                    <a:xfrm>
                      <a:off x="0" y="0"/>
                      <a:ext cx="6118860" cy="8128635"/>
                    </a:xfrm>
                    <a:prstGeom prst="rect">
                      <a:avLst/>
                    </a:prstGeom>
                    <a:noFill/>
                    <a:ln>
                      <a:noFill/>
                    </a:ln>
                  </pic:spPr>
                </pic:pic>
              </a:graphicData>
            </a:graphic>
          </wp:inline>
        </w:drawing>
      </w:r>
    </w:p>
    <w:p/>
    <w:p>
      <w:pPr>
        <w:autoSpaceDE w:val="0"/>
        <w:autoSpaceDN w:val="0"/>
        <w:adjustRightInd w:val="0"/>
        <w:spacing w:line="360" w:lineRule="auto"/>
        <w:ind w:firstLine="600"/>
        <w:jc w:val="left"/>
        <w:rPr>
          <w:rFonts w:hint="eastAsia" w:ascii="仿宋" w:hAnsi="仿宋" w:eastAsia="仿宋" w:cs="仿宋_GB2312"/>
          <w:b/>
          <w:bCs/>
          <w:kern w:val="0"/>
          <w:sz w:val="32"/>
          <w:szCs w:val="32"/>
          <w:lang w:val="en-US" w:eastAsia="zh-CN"/>
        </w:rPr>
      </w:pPr>
      <w:r>
        <w:rPr>
          <w:rFonts w:hint="eastAsia" w:ascii="仿宋" w:hAnsi="仿宋" w:eastAsia="仿宋" w:cs="仿宋_GB2312"/>
          <w:b/>
          <w:bCs/>
          <w:kern w:val="0"/>
          <w:sz w:val="32"/>
          <w:szCs w:val="32"/>
          <w:lang w:val="en-US" w:eastAsia="zh-CN"/>
        </w:rPr>
        <w:t>1、评价结果</w:t>
      </w:r>
    </w:p>
    <w:p>
      <w:pPr>
        <w:autoSpaceDE w:val="0"/>
        <w:autoSpaceDN w:val="0"/>
        <w:adjustRightInd w:val="0"/>
        <w:spacing w:line="360" w:lineRule="auto"/>
        <w:ind w:firstLine="600"/>
        <w:jc w:val="left"/>
        <w:rPr>
          <w:rFonts w:hint="eastAsia" w:ascii="仿宋" w:hAnsi="仿宋" w:eastAsia="仿宋" w:cs="仿宋_GB2312"/>
          <w:kern w:val="0"/>
          <w:sz w:val="32"/>
          <w:szCs w:val="32"/>
          <w:lang w:val="en-US" w:eastAsia="zh-CN"/>
        </w:rPr>
      </w:pPr>
      <w:r>
        <w:rPr>
          <w:rFonts w:hint="eastAsia" w:ascii="仿宋" w:hAnsi="仿宋" w:eastAsia="仿宋" w:cs="仿宋_GB2312"/>
          <w:kern w:val="0"/>
          <w:sz w:val="32"/>
          <w:szCs w:val="32"/>
          <w:lang w:val="en-US" w:eastAsia="zh-CN"/>
        </w:rPr>
        <w:t>2020年度，我部门切实履行职能职责，有效完成了本年度绩效目标。根据局绩效评价小组综合评价，我部门2020年度整体支出评价得分为97.5分，评价等级为优。我局将把绩效自评结果作为评先评优、表彰奖励和干部提拔任用的重要依据之一。</w:t>
      </w:r>
    </w:p>
    <w:p>
      <w:pPr>
        <w:autoSpaceDE w:val="0"/>
        <w:autoSpaceDN w:val="0"/>
        <w:adjustRightInd w:val="0"/>
        <w:spacing w:line="360" w:lineRule="auto"/>
        <w:ind w:firstLine="600"/>
        <w:jc w:val="left"/>
        <w:rPr>
          <w:rFonts w:hint="eastAsia" w:ascii="仿宋" w:hAnsi="仿宋" w:eastAsia="仿宋" w:cs="仿宋_GB2312"/>
          <w:b/>
          <w:bCs/>
          <w:kern w:val="0"/>
          <w:sz w:val="32"/>
          <w:szCs w:val="32"/>
          <w:lang w:val="en-US" w:eastAsia="zh-CN"/>
        </w:rPr>
      </w:pPr>
      <w:r>
        <w:rPr>
          <w:rFonts w:hint="eastAsia" w:ascii="仿宋" w:hAnsi="仿宋" w:eastAsia="仿宋" w:cs="仿宋_GB2312"/>
          <w:b/>
          <w:bCs/>
          <w:kern w:val="0"/>
          <w:sz w:val="32"/>
          <w:szCs w:val="32"/>
          <w:lang w:val="en-US" w:eastAsia="zh-CN"/>
        </w:rPr>
        <w:t>2、发现的问题</w:t>
      </w:r>
    </w:p>
    <w:p>
      <w:pPr>
        <w:autoSpaceDE w:val="0"/>
        <w:autoSpaceDN w:val="0"/>
        <w:adjustRightInd w:val="0"/>
        <w:spacing w:line="360" w:lineRule="auto"/>
        <w:ind w:firstLine="600"/>
        <w:jc w:val="left"/>
        <w:rPr>
          <w:rFonts w:hint="eastAsia" w:ascii="仿宋" w:hAnsi="仿宋" w:eastAsia="仿宋" w:cs="仿宋_GB2312"/>
          <w:kern w:val="0"/>
          <w:sz w:val="32"/>
          <w:szCs w:val="32"/>
          <w:lang w:val="en-US" w:eastAsia="zh-CN"/>
        </w:rPr>
      </w:pPr>
      <w:r>
        <w:rPr>
          <w:rFonts w:hint="eastAsia" w:ascii="仿宋" w:hAnsi="仿宋" w:eastAsia="仿宋" w:cs="仿宋_GB2312"/>
          <w:kern w:val="0"/>
          <w:sz w:val="32"/>
          <w:szCs w:val="32"/>
          <w:lang w:val="en-US" w:eastAsia="zh-CN"/>
        </w:rPr>
        <w:t>一是预算绩效管理的范围有待进一步扩大。虽然我局绩效评价工作已经开展，但评价范围和力度离上级要求还存在一定差距。</w:t>
      </w:r>
    </w:p>
    <w:p>
      <w:pPr>
        <w:autoSpaceDE w:val="0"/>
        <w:autoSpaceDN w:val="0"/>
        <w:adjustRightInd w:val="0"/>
        <w:spacing w:line="360" w:lineRule="auto"/>
        <w:ind w:firstLine="600"/>
        <w:jc w:val="left"/>
        <w:rPr>
          <w:rFonts w:hint="eastAsia" w:ascii="仿宋" w:hAnsi="仿宋" w:eastAsia="仿宋" w:cs="仿宋_GB2312"/>
          <w:kern w:val="0"/>
          <w:sz w:val="32"/>
          <w:szCs w:val="32"/>
          <w:lang w:val="en-US" w:eastAsia="zh-CN"/>
        </w:rPr>
      </w:pPr>
      <w:r>
        <w:rPr>
          <w:rFonts w:hint="eastAsia" w:ascii="仿宋" w:hAnsi="仿宋" w:eastAsia="仿宋" w:cs="仿宋_GB2312"/>
          <w:kern w:val="0"/>
          <w:sz w:val="32"/>
          <w:szCs w:val="32"/>
          <w:lang w:val="en-US" w:eastAsia="zh-CN"/>
        </w:rPr>
        <w:t>二是评价指标体系需要进一步完善。虽然上级已经发布共性指标，但真正能体现项目效果的个性指标，由于设置难度较大，还不能满足目前工作开展需要。</w:t>
      </w:r>
    </w:p>
    <w:p>
      <w:pPr>
        <w:autoSpaceDE w:val="0"/>
        <w:autoSpaceDN w:val="0"/>
        <w:adjustRightInd w:val="0"/>
        <w:spacing w:line="360" w:lineRule="auto"/>
        <w:ind w:firstLine="600"/>
        <w:jc w:val="left"/>
        <w:rPr>
          <w:rFonts w:hint="eastAsia" w:ascii="仿宋" w:hAnsi="仿宋" w:eastAsia="仿宋" w:cs="仿宋_GB2312"/>
          <w:kern w:val="0"/>
          <w:sz w:val="32"/>
          <w:szCs w:val="32"/>
          <w:lang w:val="en-US" w:eastAsia="zh-CN"/>
        </w:rPr>
      </w:pPr>
      <w:r>
        <w:rPr>
          <w:rFonts w:hint="eastAsia" w:ascii="仿宋" w:hAnsi="仿宋" w:eastAsia="仿宋" w:cs="仿宋_GB2312"/>
          <w:kern w:val="0"/>
          <w:sz w:val="32"/>
          <w:szCs w:val="32"/>
          <w:lang w:val="en-US" w:eastAsia="zh-CN"/>
        </w:rPr>
        <w:t>三是人员素质有待进一步提高。由于预算绩效管理工作开展时间较短，对预算绩效管理认识不到位、理解不充分，由此造成绩效评价工作成效不够明显，效果仍有待加强。</w:t>
      </w:r>
    </w:p>
    <w:p>
      <w:pPr>
        <w:autoSpaceDE w:val="0"/>
        <w:autoSpaceDN w:val="0"/>
        <w:adjustRightInd w:val="0"/>
        <w:spacing w:line="360" w:lineRule="auto"/>
        <w:ind w:firstLine="600"/>
        <w:jc w:val="left"/>
        <w:rPr>
          <w:rFonts w:hint="eastAsia" w:ascii="仿宋" w:hAnsi="仿宋" w:eastAsia="仿宋" w:cs="仿宋_GB2312"/>
          <w:b/>
          <w:bCs/>
          <w:kern w:val="0"/>
          <w:sz w:val="32"/>
          <w:szCs w:val="32"/>
          <w:lang w:val="en-US" w:eastAsia="zh-CN"/>
        </w:rPr>
      </w:pPr>
      <w:r>
        <w:rPr>
          <w:rFonts w:hint="eastAsia" w:ascii="仿宋" w:hAnsi="仿宋" w:eastAsia="仿宋" w:cs="仿宋_GB2312"/>
          <w:b/>
          <w:bCs/>
          <w:kern w:val="0"/>
          <w:sz w:val="32"/>
          <w:szCs w:val="32"/>
          <w:lang w:val="en-US" w:eastAsia="zh-CN"/>
        </w:rPr>
        <w:t>3、下一步改进措施</w:t>
      </w:r>
    </w:p>
    <w:p>
      <w:pPr>
        <w:autoSpaceDE w:val="0"/>
        <w:autoSpaceDN w:val="0"/>
        <w:adjustRightInd w:val="0"/>
        <w:spacing w:line="360" w:lineRule="auto"/>
        <w:ind w:firstLine="600"/>
        <w:jc w:val="left"/>
        <w:rPr>
          <w:rFonts w:hint="eastAsia" w:ascii="仿宋" w:hAnsi="仿宋" w:eastAsia="仿宋" w:cs="仿宋_GB2312"/>
          <w:kern w:val="0"/>
          <w:sz w:val="32"/>
          <w:szCs w:val="32"/>
          <w:lang w:val="en-US" w:eastAsia="zh-CN"/>
        </w:rPr>
      </w:pPr>
      <w:r>
        <w:rPr>
          <w:rFonts w:hint="eastAsia" w:ascii="仿宋" w:hAnsi="仿宋" w:eastAsia="仿宋" w:cs="仿宋_GB2312"/>
          <w:kern w:val="0"/>
          <w:sz w:val="32"/>
          <w:szCs w:val="32"/>
          <w:lang w:val="en-US" w:eastAsia="zh-CN"/>
        </w:rPr>
        <w:t>一是进一步扩大绩效管理范围，在绩效目标管理方面进一步完善实施单位整体支出绩效目标管理，施行整体支出评价。</w:t>
      </w:r>
    </w:p>
    <w:p>
      <w:pPr>
        <w:autoSpaceDE w:val="0"/>
        <w:autoSpaceDN w:val="0"/>
        <w:adjustRightInd w:val="0"/>
        <w:spacing w:line="360" w:lineRule="auto"/>
        <w:ind w:firstLine="600"/>
        <w:jc w:val="left"/>
        <w:rPr>
          <w:rFonts w:hint="eastAsia" w:ascii="仿宋" w:hAnsi="仿宋" w:eastAsia="仿宋" w:cs="仿宋_GB2312"/>
          <w:kern w:val="0"/>
          <w:sz w:val="32"/>
          <w:szCs w:val="32"/>
          <w:lang w:val="en-US" w:eastAsia="zh-CN"/>
        </w:rPr>
      </w:pPr>
      <w:r>
        <w:rPr>
          <w:rFonts w:hint="eastAsia" w:ascii="仿宋" w:hAnsi="仿宋" w:eastAsia="仿宋" w:cs="仿宋_GB2312"/>
          <w:kern w:val="0"/>
          <w:sz w:val="32"/>
          <w:szCs w:val="32"/>
          <w:lang w:val="en-US" w:eastAsia="zh-CN"/>
        </w:rPr>
        <w:t>二是加强评价指标体系建设，汇总梳理以前年度制定的指标，将符合当前预算绩效管理要求和行业管理特点的个性指标汇编成库；组织人员搜集整理先进省市制定出台的指标，进一步充实完善个性指标库；建立指标更新机制，将以后年度新制定的指标及时纳入指标库，做到随时更新、完善。</w:t>
      </w:r>
    </w:p>
    <w:p>
      <w:pPr>
        <w:autoSpaceDE w:val="0"/>
        <w:autoSpaceDN w:val="0"/>
        <w:adjustRightInd w:val="0"/>
        <w:spacing w:line="360" w:lineRule="auto"/>
        <w:ind w:firstLine="600"/>
        <w:jc w:val="left"/>
        <w:rPr>
          <w:rFonts w:hint="default" w:ascii="仿宋" w:hAnsi="仿宋" w:eastAsia="仿宋" w:cs="仿宋_GB2312"/>
          <w:kern w:val="0"/>
          <w:sz w:val="32"/>
          <w:szCs w:val="32"/>
          <w:lang w:val="en-US" w:eastAsia="zh-CN"/>
        </w:rPr>
      </w:pPr>
      <w:r>
        <w:rPr>
          <w:rFonts w:hint="eastAsia" w:ascii="仿宋" w:hAnsi="仿宋" w:eastAsia="仿宋" w:cs="仿宋_GB2312"/>
          <w:kern w:val="0"/>
          <w:sz w:val="32"/>
          <w:szCs w:val="32"/>
          <w:lang w:val="en-US" w:eastAsia="zh-CN"/>
        </w:rPr>
        <w:t>三是积极运用绩效评价结果，建立绩效评价结果的反馈与整改、激励与问责制度，进一步完善绩效评价结果的反馈和运用机制，将绩效结果向社会逐步公布。</w:t>
      </w:r>
    </w:p>
    <w:p>
      <w:pPr>
        <w:autoSpaceDE w:val="0"/>
        <w:autoSpaceDN w:val="0"/>
        <w:adjustRightInd w:val="0"/>
        <w:spacing w:line="360" w:lineRule="auto"/>
        <w:ind w:firstLine="600"/>
        <w:jc w:val="left"/>
        <w:rPr>
          <w:rFonts w:hint="eastAsia" w:ascii="仿宋" w:hAnsi="仿宋" w:eastAsia="仿宋" w:cs="仿宋_GB2312"/>
          <w:kern w:val="0"/>
          <w:sz w:val="30"/>
          <w:szCs w:val="30"/>
        </w:rPr>
      </w:pPr>
    </w:p>
    <w:p>
      <w:pPr>
        <w:widowControl/>
        <w:spacing w:line="600" w:lineRule="exact"/>
        <w:ind w:firstLine="640"/>
        <w:jc w:val="center"/>
        <w:rPr>
          <w:rFonts w:hint="eastAsia" w:ascii="宋体" w:hAnsi="宋体"/>
          <w:b/>
          <w:sz w:val="32"/>
          <w:szCs w:val="32"/>
        </w:rPr>
      </w:pPr>
      <w:r>
        <w:rPr>
          <w:rFonts w:hint="eastAsia" w:ascii="宋体" w:hAnsi="宋体"/>
          <w:b/>
          <w:sz w:val="32"/>
          <w:szCs w:val="32"/>
        </w:rPr>
        <w:t>第四部分  名词解释</w:t>
      </w:r>
    </w:p>
    <w:p>
      <w:pPr>
        <w:pStyle w:val="5"/>
        <w:spacing w:line="600" w:lineRule="atLeast"/>
        <w:ind w:firstLine="600"/>
        <w:rPr>
          <w:rFonts w:hint="eastAsia" w:ascii="仿宋" w:hAnsi="仿宋" w:eastAsia="仿宋"/>
          <w:sz w:val="30"/>
          <w:szCs w:val="30"/>
        </w:rPr>
      </w:pPr>
    </w:p>
    <w:p>
      <w:pPr>
        <w:keepNext w:val="0"/>
        <w:keepLines w:val="0"/>
        <w:pageBreakBefore w:val="0"/>
        <w:widowControl w:val="0"/>
        <w:kinsoku/>
        <w:wordWrap/>
        <w:overflowPunct/>
        <w:topLinePunct w:val="0"/>
        <w:autoSpaceDE/>
        <w:autoSpaceDN/>
        <w:bidi w:val="0"/>
        <w:adjustRightInd/>
        <w:snapToGrid/>
        <w:spacing w:line="360" w:lineRule="auto"/>
        <w:ind w:firstLine="720" w:firstLineChars="225"/>
        <w:textAlignment w:val="auto"/>
        <w:rPr>
          <w:rFonts w:hint="eastAsia" w:ascii="仿宋" w:hAnsi="仿宋" w:eastAsia="仿宋" w:cs="仿宋"/>
          <w:sz w:val="32"/>
          <w:szCs w:val="32"/>
        </w:rPr>
      </w:pPr>
      <w:r>
        <w:rPr>
          <w:rFonts w:hint="eastAsia" w:ascii="仿宋" w:hAnsi="仿宋" w:eastAsia="仿宋" w:cs="仿宋"/>
          <w:sz w:val="32"/>
          <w:szCs w:val="32"/>
        </w:rPr>
        <w:t>1、财政拨款收入：指单位本年度从本级财政部门取得的财政拨款，包括一般公共预算财政拨款和政府性基金预算财政拨款。</w:t>
      </w:r>
    </w:p>
    <w:p>
      <w:pPr>
        <w:keepNext w:val="0"/>
        <w:keepLines w:val="0"/>
        <w:pageBreakBefore w:val="0"/>
        <w:widowControl w:val="0"/>
        <w:kinsoku/>
        <w:wordWrap/>
        <w:overflowPunct/>
        <w:topLinePunct w:val="0"/>
        <w:autoSpaceDE/>
        <w:autoSpaceDN/>
        <w:bidi w:val="0"/>
        <w:adjustRightInd/>
        <w:snapToGrid/>
        <w:spacing w:line="360" w:lineRule="auto"/>
        <w:ind w:firstLine="720" w:firstLineChars="225"/>
        <w:textAlignment w:val="auto"/>
        <w:rPr>
          <w:rFonts w:hint="eastAsia" w:ascii="仿宋" w:hAnsi="仿宋" w:eastAsia="仿宋" w:cs="仿宋"/>
          <w:sz w:val="32"/>
          <w:szCs w:val="32"/>
        </w:rPr>
      </w:pPr>
      <w:r>
        <w:rPr>
          <w:rFonts w:hint="eastAsia" w:ascii="仿宋" w:hAnsi="仿宋" w:eastAsia="仿宋" w:cs="仿宋"/>
          <w:sz w:val="32"/>
          <w:szCs w:val="32"/>
        </w:rPr>
        <w:t>2、上级补助收入：指事业单位从主管部门和上级单位取得的非财政补助收入。</w:t>
      </w:r>
    </w:p>
    <w:p>
      <w:pPr>
        <w:keepNext w:val="0"/>
        <w:keepLines w:val="0"/>
        <w:pageBreakBefore w:val="0"/>
        <w:widowControl w:val="0"/>
        <w:kinsoku/>
        <w:wordWrap/>
        <w:overflowPunct/>
        <w:topLinePunct w:val="0"/>
        <w:autoSpaceDE/>
        <w:autoSpaceDN/>
        <w:bidi w:val="0"/>
        <w:adjustRightInd/>
        <w:snapToGrid/>
        <w:spacing w:line="360" w:lineRule="auto"/>
        <w:ind w:firstLine="720" w:firstLineChars="225"/>
        <w:textAlignment w:val="auto"/>
        <w:rPr>
          <w:rFonts w:hint="eastAsia" w:ascii="仿宋" w:hAnsi="仿宋" w:eastAsia="仿宋" w:cs="仿宋"/>
          <w:sz w:val="32"/>
          <w:szCs w:val="32"/>
        </w:rPr>
      </w:pPr>
      <w:r>
        <w:rPr>
          <w:rFonts w:hint="eastAsia" w:ascii="仿宋" w:hAnsi="仿宋" w:eastAsia="仿宋" w:cs="仿宋"/>
          <w:sz w:val="32"/>
          <w:szCs w:val="32"/>
        </w:rPr>
        <w:t>3、事业收入：指事业单位开展专业业务活动及其辅助活动取得的收入；事业单位收到的财政专户实际核拨的教育收费等资金在此反映。</w:t>
      </w:r>
    </w:p>
    <w:p>
      <w:pPr>
        <w:keepNext w:val="0"/>
        <w:keepLines w:val="0"/>
        <w:pageBreakBefore w:val="0"/>
        <w:widowControl w:val="0"/>
        <w:kinsoku/>
        <w:wordWrap/>
        <w:overflowPunct/>
        <w:topLinePunct w:val="0"/>
        <w:autoSpaceDE/>
        <w:autoSpaceDN/>
        <w:bidi w:val="0"/>
        <w:adjustRightInd/>
        <w:snapToGrid/>
        <w:spacing w:line="360" w:lineRule="auto"/>
        <w:ind w:firstLine="720" w:firstLineChars="225"/>
        <w:textAlignment w:val="auto"/>
        <w:rPr>
          <w:rFonts w:hint="eastAsia" w:ascii="仿宋" w:hAnsi="仿宋" w:eastAsia="仿宋" w:cs="仿宋"/>
          <w:sz w:val="32"/>
          <w:szCs w:val="32"/>
        </w:rPr>
      </w:pPr>
      <w:r>
        <w:rPr>
          <w:rFonts w:hint="eastAsia" w:ascii="仿宋" w:hAnsi="仿宋" w:eastAsia="仿宋" w:cs="仿宋"/>
          <w:sz w:val="32"/>
          <w:szCs w:val="32"/>
        </w:rPr>
        <w:t>4、经营收入：指事业单位在专业业务活动及其辅助活动之外开展非独立核算经营活动取得的收入。</w:t>
      </w:r>
    </w:p>
    <w:p>
      <w:pPr>
        <w:keepNext w:val="0"/>
        <w:keepLines w:val="0"/>
        <w:pageBreakBefore w:val="0"/>
        <w:widowControl w:val="0"/>
        <w:kinsoku/>
        <w:wordWrap/>
        <w:overflowPunct/>
        <w:topLinePunct w:val="0"/>
        <w:autoSpaceDE/>
        <w:autoSpaceDN/>
        <w:bidi w:val="0"/>
        <w:adjustRightInd/>
        <w:snapToGrid/>
        <w:spacing w:line="360" w:lineRule="auto"/>
        <w:ind w:firstLine="720" w:firstLineChars="225"/>
        <w:textAlignment w:val="auto"/>
        <w:rPr>
          <w:rFonts w:hint="eastAsia" w:ascii="仿宋" w:hAnsi="仿宋" w:eastAsia="仿宋" w:cs="仿宋"/>
          <w:sz w:val="32"/>
          <w:szCs w:val="32"/>
        </w:rPr>
      </w:pPr>
      <w:r>
        <w:rPr>
          <w:rFonts w:hint="eastAsia" w:ascii="仿宋" w:hAnsi="仿宋" w:eastAsia="仿宋" w:cs="仿宋"/>
          <w:sz w:val="32"/>
          <w:szCs w:val="32"/>
        </w:rPr>
        <w:t>5、附属单位缴款：指事业单位附属独立核算单位按照有关规定上缴的收入。</w:t>
      </w:r>
    </w:p>
    <w:p>
      <w:pPr>
        <w:keepNext w:val="0"/>
        <w:keepLines w:val="0"/>
        <w:pageBreakBefore w:val="0"/>
        <w:widowControl w:val="0"/>
        <w:kinsoku/>
        <w:wordWrap/>
        <w:overflowPunct/>
        <w:topLinePunct w:val="0"/>
        <w:autoSpaceDE/>
        <w:autoSpaceDN/>
        <w:bidi w:val="0"/>
        <w:adjustRightInd/>
        <w:snapToGrid/>
        <w:spacing w:line="360" w:lineRule="auto"/>
        <w:ind w:firstLine="720" w:firstLineChars="225"/>
        <w:textAlignment w:val="auto"/>
        <w:rPr>
          <w:rFonts w:hint="eastAsia" w:ascii="仿宋" w:hAnsi="仿宋" w:eastAsia="仿宋" w:cs="仿宋"/>
          <w:sz w:val="32"/>
          <w:szCs w:val="32"/>
        </w:rPr>
      </w:pPr>
      <w:r>
        <w:rPr>
          <w:rFonts w:hint="eastAsia" w:ascii="仿宋" w:hAnsi="仿宋" w:eastAsia="仿宋" w:cs="仿宋"/>
          <w:sz w:val="32"/>
          <w:szCs w:val="32"/>
        </w:rPr>
        <w:t>6、其他收入：指单位取得的除上述“财政拨款收入”、“事业收入”、“经营收入”、“附属单位缴款”等以外的各项收入。</w:t>
      </w:r>
    </w:p>
    <w:p>
      <w:pPr>
        <w:keepNext w:val="0"/>
        <w:keepLines w:val="0"/>
        <w:pageBreakBefore w:val="0"/>
        <w:widowControl w:val="0"/>
        <w:kinsoku/>
        <w:wordWrap/>
        <w:overflowPunct/>
        <w:topLinePunct w:val="0"/>
        <w:autoSpaceDE/>
        <w:autoSpaceDN/>
        <w:bidi w:val="0"/>
        <w:adjustRightInd/>
        <w:snapToGrid/>
        <w:spacing w:line="360" w:lineRule="auto"/>
        <w:ind w:firstLine="720" w:firstLineChars="225"/>
        <w:textAlignment w:val="auto"/>
        <w:rPr>
          <w:rFonts w:hint="eastAsia" w:ascii="仿宋" w:hAnsi="仿宋" w:eastAsia="仿宋" w:cs="仿宋"/>
          <w:sz w:val="32"/>
          <w:szCs w:val="32"/>
        </w:rPr>
      </w:pPr>
      <w:r>
        <w:rPr>
          <w:rFonts w:hint="eastAsia" w:ascii="仿宋" w:hAnsi="仿宋" w:eastAsia="仿宋" w:cs="仿宋"/>
          <w:sz w:val="32"/>
          <w:szCs w:val="32"/>
        </w:rPr>
        <w:t>7、用事业基金弥补收支差额：指事业单位用事业基金弥补当年收支差额的数额。</w:t>
      </w:r>
    </w:p>
    <w:p>
      <w:pPr>
        <w:keepNext w:val="0"/>
        <w:keepLines w:val="0"/>
        <w:pageBreakBefore w:val="0"/>
        <w:widowControl w:val="0"/>
        <w:kinsoku/>
        <w:wordWrap/>
        <w:overflowPunct/>
        <w:topLinePunct w:val="0"/>
        <w:autoSpaceDE/>
        <w:autoSpaceDN/>
        <w:bidi w:val="0"/>
        <w:adjustRightInd/>
        <w:snapToGrid/>
        <w:spacing w:line="360" w:lineRule="auto"/>
        <w:ind w:firstLine="720" w:firstLineChars="225"/>
        <w:textAlignment w:val="auto"/>
        <w:rPr>
          <w:rFonts w:hint="eastAsia" w:ascii="仿宋" w:hAnsi="仿宋" w:eastAsia="仿宋" w:cs="仿宋"/>
          <w:sz w:val="32"/>
          <w:szCs w:val="32"/>
        </w:rPr>
      </w:pPr>
      <w:r>
        <w:rPr>
          <w:rFonts w:hint="eastAsia" w:ascii="仿宋" w:hAnsi="仿宋" w:eastAsia="仿宋" w:cs="仿宋"/>
          <w:sz w:val="32"/>
          <w:szCs w:val="32"/>
        </w:rPr>
        <w:t>8、年初结转和结余：指单位上年结转本年使用的基本支出结转、项目支出结转和结余和经营结余。</w:t>
      </w:r>
    </w:p>
    <w:p>
      <w:pPr>
        <w:keepNext w:val="0"/>
        <w:keepLines w:val="0"/>
        <w:pageBreakBefore w:val="0"/>
        <w:widowControl w:val="0"/>
        <w:kinsoku/>
        <w:wordWrap/>
        <w:overflowPunct/>
        <w:topLinePunct w:val="0"/>
        <w:autoSpaceDE/>
        <w:autoSpaceDN/>
        <w:bidi w:val="0"/>
        <w:adjustRightInd/>
        <w:snapToGrid/>
        <w:spacing w:line="360" w:lineRule="auto"/>
        <w:ind w:firstLine="720" w:firstLineChars="225"/>
        <w:textAlignment w:val="auto"/>
        <w:rPr>
          <w:rFonts w:hint="eastAsia" w:ascii="仿宋" w:hAnsi="仿宋" w:eastAsia="仿宋" w:cs="仿宋"/>
          <w:sz w:val="32"/>
          <w:szCs w:val="32"/>
        </w:rPr>
      </w:pPr>
      <w:r>
        <w:rPr>
          <w:rFonts w:hint="eastAsia" w:ascii="仿宋" w:hAnsi="仿宋" w:eastAsia="仿宋" w:cs="仿宋"/>
          <w:sz w:val="32"/>
          <w:szCs w:val="32"/>
        </w:rPr>
        <w:t>9、结余分配：指事业单位按规定对非财政补助结余资金提取的职工福利基金、事业基金和缴纳的所得税，以及减少单位按规定应缴回的基本建设竣工项目结余资金。</w:t>
      </w:r>
    </w:p>
    <w:p>
      <w:pPr>
        <w:keepNext w:val="0"/>
        <w:keepLines w:val="0"/>
        <w:pageBreakBefore w:val="0"/>
        <w:widowControl w:val="0"/>
        <w:kinsoku/>
        <w:wordWrap/>
        <w:overflowPunct/>
        <w:topLinePunct w:val="0"/>
        <w:autoSpaceDE/>
        <w:autoSpaceDN/>
        <w:bidi w:val="0"/>
        <w:adjustRightInd/>
        <w:snapToGrid/>
        <w:spacing w:line="360" w:lineRule="auto"/>
        <w:ind w:firstLine="720" w:firstLineChars="225"/>
        <w:textAlignment w:val="auto"/>
        <w:rPr>
          <w:rFonts w:hint="eastAsia" w:ascii="仿宋" w:hAnsi="仿宋" w:eastAsia="仿宋" w:cs="仿宋"/>
          <w:sz w:val="32"/>
          <w:szCs w:val="32"/>
        </w:rPr>
      </w:pPr>
      <w:r>
        <w:rPr>
          <w:rFonts w:hint="eastAsia" w:ascii="仿宋" w:hAnsi="仿宋" w:eastAsia="仿宋" w:cs="仿宋"/>
          <w:sz w:val="32"/>
          <w:szCs w:val="32"/>
        </w:rPr>
        <w:t>10、年末结转和结余资金：指单位结转下年的基本支出结转、项目支出结转和结余和经营结余。</w:t>
      </w:r>
    </w:p>
    <w:p>
      <w:pPr>
        <w:keepNext w:val="0"/>
        <w:keepLines w:val="0"/>
        <w:pageBreakBefore w:val="0"/>
        <w:widowControl w:val="0"/>
        <w:kinsoku/>
        <w:wordWrap/>
        <w:overflowPunct/>
        <w:topLinePunct w:val="0"/>
        <w:autoSpaceDE/>
        <w:autoSpaceDN/>
        <w:bidi w:val="0"/>
        <w:adjustRightInd/>
        <w:snapToGrid/>
        <w:spacing w:line="360" w:lineRule="auto"/>
        <w:ind w:firstLine="720" w:firstLineChars="225"/>
        <w:textAlignment w:val="auto"/>
        <w:rPr>
          <w:rFonts w:hint="eastAsia" w:ascii="仿宋" w:hAnsi="仿宋" w:eastAsia="仿宋" w:cs="仿宋"/>
          <w:sz w:val="32"/>
          <w:szCs w:val="32"/>
        </w:rPr>
      </w:pPr>
      <w:r>
        <w:rPr>
          <w:rFonts w:hint="eastAsia" w:ascii="仿宋" w:hAnsi="仿宋" w:eastAsia="仿宋" w:cs="仿宋"/>
          <w:sz w:val="32"/>
          <w:szCs w:val="32"/>
        </w:rPr>
        <w:t>11、基本支出：指为保障机构正常运转、完成日常工作任务而发生的人员支出和公用支出。</w:t>
      </w:r>
    </w:p>
    <w:p>
      <w:pPr>
        <w:keepNext w:val="0"/>
        <w:keepLines w:val="0"/>
        <w:pageBreakBefore w:val="0"/>
        <w:widowControl w:val="0"/>
        <w:kinsoku/>
        <w:wordWrap/>
        <w:overflowPunct/>
        <w:topLinePunct w:val="0"/>
        <w:autoSpaceDE/>
        <w:autoSpaceDN/>
        <w:bidi w:val="0"/>
        <w:adjustRightInd/>
        <w:snapToGrid/>
        <w:spacing w:line="360" w:lineRule="auto"/>
        <w:ind w:firstLine="720" w:firstLineChars="225"/>
        <w:textAlignment w:val="auto"/>
        <w:rPr>
          <w:rFonts w:hint="eastAsia" w:ascii="仿宋" w:hAnsi="仿宋" w:eastAsia="仿宋" w:cs="仿宋"/>
          <w:sz w:val="32"/>
          <w:szCs w:val="32"/>
        </w:rPr>
      </w:pPr>
      <w:r>
        <w:rPr>
          <w:rFonts w:hint="eastAsia" w:ascii="仿宋" w:hAnsi="仿宋" w:eastAsia="仿宋" w:cs="仿宋"/>
          <w:sz w:val="32"/>
          <w:szCs w:val="32"/>
        </w:rPr>
        <w:t>12、项目支出：指在基本支出之外为完成特定的行政任务或事业发展目标所发生的支出。</w:t>
      </w:r>
    </w:p>
    <w:p>
      <w:pPr>
        <w:keepNext w:val="0"/>
        <w:keepLines w:val="0"/>
        <w:pageBreakBefore w:val="0"/>
        <w:widowControl w:val="0"/>
        <w:kinsoku/>
        <w:wordWrap/>
        <w:overflowPunct/>
        <w:topLinePunct w:val="0"/>
        <w:autoSpaceDE/>
        <w:autoSpaceDN/>
        <w:bidi w:val="0"/>
        <w:adjustRightInd/>
        <w:snapToGrid/>
        <w:spacing w:line="360" w:lineRule="auto"/>
        <w:ind w:firstLine="720" w:firstLineChars="225"/>
        <w:textAlignment w:val="auto"/>
        <w:rPr>
          <w:rFonts w:hint="eastAsia" w:ascii="仿宋" w:hAnsi="仿宋" w:eastAsia="仿宋" w:cs="仿宋"/>
          <w:sz w:val="32"/>
          <w:szCs w:val="32"/>
        </w:rPr>
      </w:pPr>
      <w:r>
        <w:rPr>
          <w:rFonts w:hint="eastAsia" w:ascii="仿宋" w:hAnsi="仿宋" w:eastAsia="仿宋" w:cs="仿宋"/>
          <w:sz w:val="32"/>
          <w:szCs w:val="32"/>
        </w:rPr>
        <w:t>13、、上缴上级支出：指事业单位按照财政部门和主管部门的规定上缴上级单位的支出。</w:t>
      </w:r>
    </w:p>
    <w:p>
      <w:pPr>
        <w:keepNext w:val="0"/>
        <w:keepLines w:val="0"/>
        <w:pageBreakBefore w:val="0"/>
        <w:widowControl w:val="0"/>
        <w:kinsoku/>
        <w:wordWrap/>
        <w:overflowPunct/>
        <w:topLinePunct w:val="0"/>
        <w:autoSpaceDE/>
        <w:autoSpaceDN/>
        <w:bidi w:val="0"/>
        <w:adjustRightInd/>
        <w:snapToGrid/>
        <w:spacing w:line="360" w:lineRule="auto"/>
        <w:ind w:firstLine="720" w:firstLineChars="225"/>
        <w:textAlignment w:val="auto"/>
        <w:rPr>
          <w:rFonts w:hint="eastAsia" w:ascii="仿宋" w:hAnsi="仿宋" w:eastAsia="仿宋" w:cs="仿宋"/>
          <w:sz w:val="32"/>
          <w:szCs w:val="32"/>
        </w:rPr>
      </w:pPr>
      <w:r>
        <w:rPr>
          <w:rFonts w:hint="eastAsia" w:ascii="仿宋" w:hAnsi="仿宋" w:eastAsia="仿宋" w:cs="仿宋"/>
          <w:sz w:val="32"/>
          <w:szCs w:val="32"/>
        </w:rPr>
        <w:t>14、经营支出：指事业单位在专业业务活动及其辅助活动之外开展非独立核算经营活动发生的支出。</w:t>
      </w:r>
    </w:p>
    <w:p>
      <w:pPr>
        <w:keepNext w:val="0"/>
        <w:keepLines w:val="0"/>
        <w:pageBreakBefore w:val="0"/>
        <w:widowControl w:val="0"/>
        <w:kinsoku/>
        <w:wordWrap/>
        <w:overflowPunct/>
        <w:topLinePunct w:val="0"/>
        <w:autoSpaceDE/>
        <w:autoSpaceDN/>
        <w:bidi w:val="0"/>
        <w:adjustRightInd/>
        <w:snapToGrid/>
        <w:spacing w:line="360" w:lineRule="auto"/>
        <w:ind w:firstLine="720" w:firstLineChars="225"/>
        <w:textAlignment w:val="auto"/>
        <w:rPr>
          <w:rFonts w:hint="eastAsia" w:ascii="仿宋" w:hAnsi="仿宋" w:eastAsia="仿宋" w:cs="仿宋"/>
          <w:sz w:val="32"/>
          <w:szCs w:val="32"/>
        </w:rPr>
      </w:pPr>
      <w:r>
        <w:rPr>
          <w:rFonts w:hint="eastAsia" w:ascii="仿宋" w:hAnsi="仿宋" w:eastAsia="仿宋" w:cs="仿宋"/>
          <w:sz w:val="32"/>
          <w:szCs w:val="32"/>
        </w:rPr>
        <w:t>15、对附属单位补助支出：指事业单位用财政补助收入之外的收入对附属单位补助发生的支出。</w:t>
      </w:r>
    </w:p>
    <w:p>
      <w:pPr>
        <w:keepNext w:val="0"/>
        <w:keepLines w:val="0"/>
        <w:pageBreakBefore w:val="0"/>
        <w:widowControl w:val="0"/>
        <w:kinsoku/>
        <w:wordWrap/>
        <w:overflowPunct/>
        <w:topLinePunct w:val="0"/>
        <w:autoSpaceDE/>
        <w:autoSpaceDN/>
        <w:bidi w:val="0"/>
        <w:adjustRightInd/>
        <w:snapToGrid/>
        <w:spacing w:line="360" w:lineRule="auto"/>
        <w:ind w:firstLine="720" w:firstLineChars="225"/>
        <w:textAlignment w:val="auto"/>
        <w:rPr>
          <w:rFonts w:hint="eastAsia" w:ascii="仿宋" w:hAnsi="仿宋" w:eastAsia="仿宋" w:cs="仿宋"/>
          <w:sz w:val="32"/>
          <w:szCs w:val="32"/>
        </w:rPr>
      </w:pPr>
      <w:r>
        <w:rPr>
          <w:rFonts w:hint="eastAsia" w:ascii="仿宋" w:hAnsi="仿宋" w:eastAsia="仿宋" w:cs="仿宋"/>
          <w:sz w:val="32"/>
          <w:szCs w:val="32"/>
        </w:rPr>
        <w:t>16、“三公”经费：指各部门因公出国（境）费、公务用车购置及运行费和公务接待费。其中，因公出国（境）费指单位公务出国（境）的住宿费、旅费、伙食补助费、杂费、培训费等支出；公务用车购置及运行费指单位公务用车购置费及租用费、燃料费、维修费、过路过桥费、保险费、安全奖励费用等支出；公务接待费指单位按规定开支的各类公务接待（含外宾接待）支出。</w:t>
      </w:r>
    </w:p>
    <w:p>
      <w:pPr>
        <w:keepNext w:val="0"/>
        <w:keepLines w:val="0"/>
        <w:pageBreakBefore w:val="0"/>
        <w:widowControl w:val="0"/>
        <w:kinsoku/>
        <w:wordWrap/>
        <w:overflowPunct/>
        <w:topLinePunct w:val="0"/>
        <w:autoSpaceDE/>
        <w:autoSpaceDN/>
        <w:bidi w:val="0"/>
        <w:adjustRightInd/>
        <w:snapToGrid/>
        <w:spacing w:line="360" w:lineRule="auto"/>
        <w:ind w:firstLine="720" w:firstLineChars="225"/>
        <w:textAlignment w:val="auto"/>
        <w:rPr>
          <w:rFonts w:hint="eastAsia" w:ascii="仿宋" w:hAnsi="仿宋" w:eastAsia="仿宋" w:cs="仿宋"/>
          <w:sz w:val="32"/>
          <w:szCs w:val="32"/>
        </w:rPr>
      </w:pPr>
      <w:r>
        <w:rPr>
          <w:rFonts w:hint="eastAsia" w:ascii="仿宋" w:hAnsi="仿宋" w:eastAsia="仿宋" w:cs="仿宋"/>
          <w:sz w:val="32"/>
          <w:szCs w:val="32"/>
        </w:rPr>
        <w:t>17、机关运行经费：指为保障行政单位（含参照公务员法管理的事业单位）运行用于购买货物和服务的各项资金，包括办公费、印刷费、差旅费、会议费、日常维修费、专用材料及办公用房水电费、物业管理费、公务用车运行维护费等。</w:t>
      </w:r>
    </w:p>
    <w:p>
      <w:pPr>
        <w:rPr>
          <w:rFonts w:hint="eastAsia"/>
          <w:lang w:eastAsia="zh-CN"/>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EFF" w:usb1="C000785B" w:usb2="00000009" w:usb3="00000000" w:csb0="400001FF" w:csb1="FFFF0000"/>
  </w:font>
  <w:font w:name="仿宋_GB2312">
    <w:altName w:val="仿宋"/>
    <w:panose1 w:val="02010609030101010101"/>
    <w:charset w:val="86"/>
    <w:family w:val="modern"/>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F1AB64"/>
    <w:multiLevelType w:val="singleLevel"/>
    <w:tmpl w:val="CEF1AB64"/>
    <w:lvl w:ilvl="0" w:tentative="0">
      <w:start w:val="8"/>
      <w:numFmt w:val="chineseCounting"/>
      <w:suff w:val="nothing"/>
      <w:lvlText w:val="%1、"/>
      <w:lvlJc w:val="left"/>
      <w:pPr>
        <w:ind w:left="128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c1ZGM4YTFmNWI1YmYxODY4OTZkYWU1OTA2YWQ5OWIifQ=="/>
  </w:docVars>
  <w:rsids>
    <w:rsidRoot w:val="4DA919F4"/>
    <w:rsid w:val="042346D6"/>
    <w:rsid w:val="26CF3959"/>
    <w:rsid w:val="4DA919F4"/>
    <w:rsid w:val="5E3C43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szCs w:val="18"/>
    </w:rPr>
  </w:style>
  <w:style w:type="paragraph" w:customStyle="1" w:styleId="5">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3.bin"/><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emf"/><Relationship Id="rId22" Type="http://schemas.openxmlformats.org/officeDocument/2006/relationships/oleObject" Target="embeddings/oleObject10.bin"/><Relationship Id="rId21" Type="http://schemas.openxmlformats.org/officeDocument/2006/relationships/image" Target="media/image9.emf"/><Relationship Id="rId20" Type="http://schemas.openxmlformats.org/officeDocument/2006/relationships/oleObject" Target="embeddings/oleObject9.bin"/><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8.bin"/><Relationship Id="rId17" Type="http://schemas.openxmlformats.org/officeDocument/2006/relationships/image" Target="media/image7.emf"/><Relationship Id="rId16" Type="http://schemas.openxmlformats.org/officeDocument/2006/relationships/oleObject" Target="embeddings/oleObject7.bin"/><Relationship Id="rId15" Type="http://schemas.openxmlformats.org/officeDocument/2006/relationships/image" Target="media/image6.emf"/><Relationship Id="rId14" Type="http://schemas.openxmlformats.org/officeDocument/2006/relationships/oleObject" Target="embeddings/oleObject6.bin"/><Relationship Id="rId13" Type="http://schemas.openxmlformats.org/officeDocument/2006/relationships/image" Target="media/image5.emf"/><Relationship Id="rId12" Type="http://schemas.openxmlformats.org/officeDocument/2006/relationships/oleObject" Target="embeddings/oleObject5.bin"/><Relationship Id="rId11" Type="http://schemas.openxmlformats.org/officeDocument/2006/relationships/image" Target="media/image4.emf"/><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25</Pages>
  <Words>6552</Words>
  <Characters>7162</Characters>
  <Lines>0</Lines>
  <Paragraphs>0</Paragraphs>
  <TotalTime>2</TotalTime>
  <ScaleCrop>false</ScaleCrop>
  <LinksUpToDate>false</LinksUpToDate>
  <CharactersWithSpaces>7258</CharactersWithSpaces>
  <Application>WPS Office_11.1.0.12132_F1E327BC-269C-435d-A152-05C5408002CA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2022-09-21T06:39:00Z</dcterms:created>
  <dc:creator>黄林</dc:creator>
  <cp:lastModifiedBy>黄林</cp:lastModifiedBy>
  <dcterms:modified xsi:type="dcterms:W3CDTF">2022-09-21T06:54:08Z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B91291AD988042A3A27FA96CE78ABF38</vt:lpwstr>
  </property>
</Properties>
</file>