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兴国县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园岭森林公园管理局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641" w:leftChars="0" w:hanging="641" w:hangingChars="213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第一部分 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兴国县园岭森林公园管理局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632" w:leftChars="284" w:hanging="36" w:hangingChars="12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一、部门主要职责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632" w:leftChars="284" w:hanging="36" w:hangingChars="12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二、部门基本情况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641" w:leftChars="0" w:hanging="641" w:hangingChars="213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第二部分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兴国县园岭森林公园管理局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202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632" w:leftChars="284" w:hanging="36" w:hangingChars="12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一、2021年部门预算收支情况说明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632" w:leftChars="284" w:hanging="36" w:hangingChars="12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二、2021年“三公”经费预算情况说明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641" w:leftChars="0" w:hanging="641" w:hangingChars="213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第三部分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兴国县园岭森林公园管理局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2021年预算表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632" w:leftChars="284" w:hanging="36" w:hangingChars="12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一、《收支预算总表》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632" w:leftChars="284" w:hanging="36" w:hangingChars="12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二、《部门收入总表》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632" w:leftChars="284" w:hanging="36" w:hangingChars="12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三、《部门支出总表》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632" w:leftChars="284" w:hanging="36" w:hangingChars="12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四、《财政拨款收支总表》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632" w:leftChars="284" w:hanging="36" w:hangingChars="12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五、《一般公共预算支出表》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632" w:leftChars="284" w:hanging="36" w:hangingChars="12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六、《一般公共预算基本支出表》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632" w:leftChars="284" w:hanging="36" w:hangingChars="12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七、《一般公共预算“三公”经费支出表》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632" w:leftChars="284" w:hanging="36" w:hangingChars="12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八、《政府性基金预算支出表》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632" w:leftChars="284" w:hanging="36" w:hangingChars="12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九、《部门整体支出绩效目标表》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10" w:leftChars="5" w:firstLine="582" w:firstLineChars="194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十、《项目支出绩效目标表》</w:t>
      </w:r>
      <w:r>
        <w:rPr>
          <w:rFonts w:hint="eastAsia" w:ascii="仿宋" w:hAnsi="仿宋" w:eastAsia="仿宋" w:cs="仿宋"/>
          <w:sz w:val="30"/>
          <w:szCs w:val="30"/>
        </w:rPr>
        <w:cr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兴国县园岭森林公园管理局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公开内容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兴国县园岭森林公园管理局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主要职责</w:t>
      </w:r>
    </w:p>
    <w:p>
      <w:pPr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兴国县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园岭</w:t>
      </w:r>
      <w:r>
        <w:rPr>
          <w:rFonts w:hint="eastAsia" w:ascii="仿宋" w:hAnsi="仿宋" w:eastAsia="仿宋" w:cs="仿宋"/>
          <w:sz w:val="30"/>
          <w:szCs w:val="30"/>
        </w:rPr>
        <w:t>森林公园管理局是林业局下属的二级局，主要职责是：做好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园岭</w:t>
      </w:r>
      <w:r>
        <w:rPr>
          <w:rFonts w:hint="eastAsia" w:ascii="仿宋" w:hAnsi="仿宋" w:eastAsia="仿宋" w:cs="仿宋"/>
          <w:sz w:val="30"/>
          <w:szCs w:val="30"/>
        </w:rPr>
        <w:t>森林公园的管理工作，执行党的方针、政策和关于森林公园的规范性文件，宣传发挥森林的生态、社会、经济效益，组织和实施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园岭</w:t>
      </w:r>
      <w:r>
        <w:rPr>
          <w:rFonts w:hint="eastAsia" w:ascii="仿宋" w:hAnsi="仿宋" w:eastAsia="仿宋" w:cs="仿宋"/>
          <w:sz w:val="30"/>
          <w:szCs w:val="30"/>
        </w:rPr>
        <w:t>森林公园的森林防火、林政管理等工作。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基本情况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兴国县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园岭</w:t>
      </w:r>
      <w:r>
        <w:rPr>
          <w:rFonts w:hint="eastAsia" w:ascii="仿宋" w:hAnsi="仿宋" w:eastAsia="仿宋" w:cs="仿宋"/>
          <w:sz w:val="30"/>
          <w:szCs w:val="30"/>
        </w:rPr>
        <w:t>森林公园管理局编制数为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人，全部为全额事业编；实有在职在编为4人，20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sz w:val="30"/>
          <w:szCs w:val="30"/>
        </w:rPr>
        <w:t>年收入预算按财政政策、人员经费、对个人和家庭的补助支出、日常公用经费、职工福利经费，由财政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拨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470481</w:t>
      </w:r>
      <w:r>
        <w:rPr>
          <w:rFonts w:hint="eastAsia" w:ascii="仿宋" w:hAnsi="仿宋" w:eastAsia="仿宋" w:cs="仿宋"/>
          <w:sz w:val="30"/>
          <w:szCs w:val="30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第二部分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兴国县园岭森林公园管理局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2021年预算情况说明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一、2021年部门预算收支情况说明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（一）收入预算情况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本单位</w:t>
      </w:r>
      <w:r>
        <w:rPr>
          <w:rFonts w:hint="eastAsia" w:ascii="仿宋" w:hAnsi="仿宋" w:eastAsia="仿宋" w:cs="仿宋"/>
          <w:sz w:val="30"/>
          <w:szCs w:val="30"/>
        </w:rPr>
        <w:t>收入预算总额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47.75万元，其中，工资和福利支出45.75万元，商品和服务支出2.4万元</w:t>
      </w:r>
      <w:r>
        <w:rPr>
          <w:rFonts w:hint="eastAsia" w:ascii="仿宋" w:hAnsi="仿宋" w:eastAsia="仿宋" w:cs="仿宋"/>
          <w:sz w:val="30"/>
          <w:szCs w:val="30"/>
        </w:rPr>
        <w:t>，较上年预算安排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总收入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46.54万元</w:t>
      </w:r>
      <w:r>
        <w:rPr>
          <w:rFonts w:hint="eastAsia" w:ascii="仿宋" w:hAnsi="仿宋" w:eastAsia="仿宋" w:cs="仿宋"/>
          <w:sz w:val="30"/>
          <w:szCs w:val="30"/>
        </w:rPr>
        <w:t>的增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1.21万元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（二）支出预算情况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本单位支出</w:t>
      </w:r>
      <w:r>
        <w:rPr>
          <w:rFonts w:hint="eastAsia" w:ascii="仿宋" w:hAnsi="仿宋" w:eastAsia="仿宋" w:cs="仿宋"/>
          <w:sz w:val="30"/>
          <w:szCs w:val="30"/>
        </w:rPr>
        <w:t>预算总额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47.75万元，其中，工资和福利支出45.35万元，商品和服务支出2.4万元</w:t>
      </w:r>
      <w:r>
        <w:rPr>
          <w:rFonts w:hint="eastAsia" w:ascii="仿宋" w:hAnsi="仿宋" w:eastAsia="仿宋" w:cs="仿宋"/>
          <w:sz w:val="30"/>
          <w:szCs w:val="30"/>
        </w:rPr>
        <w:t>，较上年预算安排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总支出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46.54万元</w:t>
      </w:r>
      <w:r>
        <w:rPr>
          <w:rFonts w:hint="eastAsia" w:ascii="仿宋" w:hAnsi="仿宋" w:eastAsia="仿宋" w:cs="仿宋"/>
          <w:sz w:val="30"/>
          <w:szCs w:val="30"/>
        </w:rPr>
        <w:t>的增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1.21万元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（三）财政拨款支出情况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本单位</w:t>
      </w:r>
      <w:r>
        <w:rPr>
          <w:rFonts w:hint="eastAsia" w:ascii="仿宋" w:hAnsi="仿宋" w:eastAsia="仿宋" w:cs="仿宋"/>
          <w:sz w:val="30"/>
          <w:szCs w:val="30"/>
        </w:rPr>
        <w:t>财政拨款支出预算数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47.75万元</w:t>
      </w:r>
      <w:r>
        <w:rPr>
          <w:rFonts w:hint="eastAsia" w:ascii="仿宋" w:hAnsi="仿宋" w:eastAsia="仿宋" w:cs="仿宋"/>
          <w:sz w:val="30"/>
          <w:szCs w:val="30"/>
        </w:rPr>
        <w:t>，较上年预算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46.54万元增加预算1.21万元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（四）政府性基金情况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本单位</w:t>
      </w:r>
      <w:r>
        <w:rPr>
          <w:rFonts w:hint="eastAsia" w:ascii="仿宋" w:hAnsi="仿宋" w:eastAsia="仿宋" w:cs="仿宋"/>
          <w:sz w:val="30"/>
          <w:szCs w:val="30"/>
        </w:rPr>
        <w:t>无政府性基金预算拨款安排的支出。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428" w:firstLineChars="142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（五）运行经费等重要事项的说明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549" w:firstLineChars="183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2021年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运行费预算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2.4</w:t>
      </w:r>
      <w:r>
        <w:rPr>
          <w:rFonts w:hint="eastAsia" w:ascii="仿宋" w:hAnsi="仿宋" w:eastAsia="仿宋" w:cs="仿宋"/>
          <w:sz w:val="30"/>
          <w:szCs w:val="30"/>
        </w:rPr>
        <w:t>万元，比2020年预算增加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0.4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万元，增长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569" w:firstLineChars="189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（六）政府采购情况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567" w:firstLineChars="189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2021年部门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或单位</w:t>
      </w:r>
      <w:r>
        <w:rPr>
          <w:rFonts w:hint="eastAsia" w:ascii="仿宋" w:hAnsi="仿宋" w:eastAsia="仿宋" w:cs="仿宋"/>
          <w:sz w:val="30"/>
          <w:szCs w:val="30"/>
        </w:rPr>
        <w:t>所属各单位政府采购总额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万元，其中：政府采购货物预算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万元、政府采购工程预算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万元、政府采购服务预算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569" w:firstLineChars="189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（七）国有资产占有使用情况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567" w:firstLineChars="189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截至2020年12月31日、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共有车辆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辆、其中、一般公务用车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辆、执法执勤用车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2021年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预算安排购置车辆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辆，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没有</w:t>
      </w:r>
      <w:r>
        <w:rPr>
          <w:rFonts w:hint="eastAsia" w:ascii="仿宋" w:hAnsi="仿宋" w:eastAsia="仿宋" w:cs="仿宋"/>
          <w:sz w:val="30"/>
          <w:szCs w:val="30"/>
        </w:rPr>
        <w:t>安排购置单位价值200万元以上大型设备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569" w:firstLineChars="189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（八）绩效目标设置情况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567" w:firstLineChars="189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2021年实行绩效目标管理的项目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个，涉及资金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万元：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02" w:firstLineChars="200"/>
        <w:textAlignment w:val="auto"/>
        <w:rPr>
          <w:rFonts w:hint="eastAsia"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二、2021年“三公”经费预算情况说明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本单位无“三公”经费预算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第三部分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兴国县园岭森林公园管理局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单位2021年预算表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left="632" w:leftChars="284" w:hanging="36" w:hangingChars="12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一、《收支预算总表》</w:t>
      </w:r>
    </w:p>
    <w:p>
      <w:pPr>
        <w:spacing w:line="360" w:lineRule="auto"/>
        <w:ind w:firstLine="420" w:firstLineChars="200"/>
        <w:rPr>
          <w:rFonts w:hint="eastAsia" w:ascii="仿宋" w:hAnsi="仿宋" w:eastAsia="仿宋" w:cs="仿宋"/>
          <w:sz w:val="28"/>
          <w:szCs w:val="28"/>
        </w:rPr>
      </w:pPr>
      <w:r>
        <w:drawing>
          <wp:inline distT="0" distB="0" distL="114300" distR="114300">
            <wp:extent cx="5269230" cy="2543175"/>
            <wp:effectExtent l="0" t="0" r="762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632" w:leftChars="284" w:hanging="36" w:hangingChars="12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二、《部门收入总表》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621" w:leftChars="284" w:hanging="25" w:hangingChars="12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drawing>
          <wp:inline distT="0" distB="0" distL="114300" distR="114300">
            <wp:extent cx="5271135" cy="2503170"/>
            <wp:effectExtent l="0" t="0" r="5715" b="1143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03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632" w:leftChars="284" w:hanging="36" w:hangingChars="12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《部门支出总表》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drawing>
          <wp:inline distT="0" distB="0" distL="114300" distR="114300">
            <wp:extent cx="5268595" cy="2247265"/>
            <wp:effectExtent l="0" t="0" r="8255" b="6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632" w:leftChars="284" w:hanging="36" w:hangingChars="12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《财政拨款收支总表》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drawing>
          <wp:inline distT="0" distB="0" distL="114300" distR="114300">
            <wp:extent cx="5270500" cy="1814830"/>
            <wp:effectExtent l="0" t="0" r="6350" b="1397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632" w:leftChars="284" w:hanging="36" w:hangingChars="12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《一般公共预算支出表》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drawing>
          <wp:inline distT="0" distB="0" distL="114300" distR="114300">
            <wp:extent cx="5269230" cy="2574925"/>
            <wp:effectExtent l="0" t="0" r="7620" b="1587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7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632" w:leftChars="284" w:hanging="36" w:hangingChars="12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《一般公共预算基本支出表》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drawing>
          <wp:inline distT="0" distB="0" distL="114300" distR="114300">
            <wp:extent cx="5264785" cy="2239010"/>
            <wp:effectExtent l="0" t="0" r="12065" b="889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632" w:leftChars="284" w:hanging="36" w:hangingChars="12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《一般公共预算“三公”经费支出表》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drawing>
          <wp:inline distT="0" distB="0" distL="114300" distR="114300">
            <wp:extent cx="5273040" cy="765175"/>
            <wp:effectExtent l="0" t="0" r="3810" b="1587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632" w:leftChars="284" w:hanging="36" w:hangingChars="12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《政府性基金预算支出表》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outlineLvl w:val="9"/>
      </w:pPr>
      <w:r>
        <w:drawing>
          <wp:inline distT="0" distB="0" distL="114300" distR="114300">
            <wp:extent cx="5269865" cy="1003935"/>
            <wp:effectExtent l="0" t="0" r="6985" b="571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outlineLvl w:val="9"/>
      </w:pPr>
      <w:r>
        <w:drawing>
          <wp:inline distT="0" distB="0" distL="114300" distR="114300">
            <wp:extent cx="5273040" cy="2516505"/>
            <wp:effectExtent l="0" t="0" r="3810" b="1714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16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outlineLvl w:val="9"/>
        <w:rPr>
          <w:rFonts w:hint="eastAsia"/>
        </w:rPr>
      </w:pPr>
      <w:r>
        <w:drawing>
          <wp:inline distT="0" distB="0" distL="114300" distR="114300">
            <wp:extent cx="5273675" cy="2247900"/>
            <wp:effectExtent l="0" t="0" r="3175" b="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632" w:leftChars="284" w:hanging="36" w:hangingChars="12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《部门整体支出绩效目标表》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0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十、《项目支出绩效目标表》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5550" w:firstLineChars="185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第四部分名词解释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569" w:firstLineChars="189"/>
        <w:textAlignment w:val="auto"/>
        <w:rPr>
          <w:rFonts w:hint="eastAsia"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一、收入科目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567" w:firstLineChars="189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各部门结合实际进行解释。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567" w:firstLineChars="189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（一）财政拨款：指县本级财政当年拨付的资金。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567" w:firstLineChars="189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（二）事业收入：指事业单位开展专业业务活动及辅助活动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取得的收入。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567" w:firstLineChars="189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（三）事业单位经营收入：指事业单位在专业业务活动及辅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助活动之外开展非独立核算经营活动取得的收入。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567" w:firstLineChars="189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（四）其他收入：指除财政拨款、事业收入、事业单位经营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收入等以外的各项收入。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567" w:firstLineChars="189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（五）附属单位上缴收入：反映事业单位附属的独立核算单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位按规定标准或比例缴纳的各项收入。包括附属的事业单位上缴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的收入和附属的企业上缴的利润等。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567" w:firstLineChars="189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（六）上级补助收入：反映事业单位从主管部门和上级单位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取得的非财政补助收入。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567" w:firstLineChars="189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（七）使用非财政拨款结余：填列历年滚存的非限定用途的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非统计财政拨款结余弥补2021年收支差额的数额。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567" w:firstLineChars="189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（八）上年结转和结余：填列2020年全部结转和结余的资金数，包括当年结转结余资金和历年滚存结转结余资金。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569" w:firstLineChars="189"/>
        <w:textAlignment w:val="auto"/>
        <w:rPr>
          <w:rFonts w:hint="eastAsia"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二、支出科目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567" w:firstLineChars="189"/>
        <w:textAlignment w:val="auto"/>
        <w:rPr>
          <w:rFonts w:hint="eastAsia" w:ascii="宋体" w:hAnsi="宋体"/>
          <w:b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对部门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或单位</w:t>
      </w:r>
      <w:r>
        <w:rPr>
          <w:rFonts w:hint="eastAsia" w:ascii="仿宋" w:hAnsi="仿宋" w:eastAsia="仿宋" w:cs="仿宋"/>
          <w:sz w:val="30"/>
          <w:szCs w:val="30"/>
        </w:rPr>
        <w:t>预算中涉及的支出功能分类科目（明细到项级），结合部门实际，参照《2021年政府收支分类科目》的规范说明行解释。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A7EBC4"/>
    <w:multiLevelType w:val="singleLevel"/>
    <w:tmpl w:val="B7A7EBC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19"/>
    <w:rsid w:val="00272C19"/>
    <w:rsid w:val="007433AF"/>
    <w:rsid w:val="00B21A50"/>
    <w:rsid w:val="02656259"/>
    <w:rsid w:val="032703CA"/>
    <w:rsid w:val="046D7D7F"/>
    <w:rsid w:val="05E902D9"/>
    <w:rsid w:val="077C05CD"/>
    <w:rsid w:val="0A5D615D"/>
    <w:rsid w:val="0AFC0E9D"/>
    <w:rsid w:val="0B0D068D"/>
    <w:rsid w:val="0B354E89"/>
    <w:rsid w:val="0B9F06E8"/>
    <w:rsid w:val="0EFA1DB0"/>
    <w:rsid w:val="10D21955"/>
    <w:rsid w:val="115A5298"/>
    <w:rsid w:val="12223BA0"/>
    <w:rsid w:val="13240B41"/>
    <w:rsid w:val="13812D0D"/>
    <w:rsid w:val="13D07D0B"/>
    <w:rsid w:val="15E4249D"/>
    <w:rsid w:val="162047A9"/>
    <w:rsid w:val="188A27C8"/>
    <w:rsid w:val="194D7776"/>
    <w:rsid w:val="19AB7EDA"/>
    <w:rsid w:val="1B353811"/>
    <w:rsid w:val="1BE661BD"/>
    <w:rsid w:val="1DA94A81"/>
    <w:rsid w:val="1FED47EC"/>
    <w:rsid w:val="234A4745"/>
    <w:rsid w:val="23D11826"/>
    <w:rsid w:val="245A533C"/>
    <w:rsid w:val="26283AB0"/>
    <w:rsid w:val="27501D3E"/>
    <w:rsid w:val="27721FAC"/>
    <w:rsid w:val="29315744"/>
    <w:rsid w:val="29C4787E"/>
    <w:rsid w:val="29F67EC3"/>
    <w:rsid w:val="2B910DA3"/>
    <w:rsid w:val="2CB54EB1"/>
    <w:rsid w:val="2DF647D0"/>
    <w:rsid w:val="2E0E081B"/>
    <w:rsid w:val="2ED92DC2"/>
    <w:rsid w:val="2FDE6AB4"/>
    <w:rsid w:val="30247C05"/>
    <w:rsid w:val="30C306B8"/>
    <w:rsid w:val="31691205"/>
    <w:rsid w:val="320520BF"/>
    <w:rsid w:val="36922267"/>
    <w:rsid w:val="3997425A"/>
    <w:rsid w:val="3AFF7AA1"/>
    <w:rsid w:val="3C903BAA"/>
    <w:rsid w:val="3D465445"/>
    <w:rsid w:val="40D35B33"/>
    <w:rsid w:val="41D10C2E"/>
    <w:rsid w:val="45DB2FCD"/>
    <w:rsid w:val="46E86CF1"/>
    <w:rsid w:val="47A3528C"/>
    <w:rsid w:val="4AF75E16"/>
    <w:rsid w:val="4D1851F2"/>
    <w:rsid w:val="5030075B"/>
    <w:rsid w:val="51C20F5F"/>
    <w:rsid w:val="54187A92"/>
    <w:rsid w:val="54F1125B"/>
    <w:rsid w:val="55716DE0"/>
    <w:rsid w:val="57142C41"/>
    <w:rsid w:val="58271BD7"/>
    <w:rsid w:val="59922E37"/>
    <w:rsid w:val="59BB7AE1"/>
    <w:rsid w:val="5E9924D4"/>
    <w:rsid w:val="604C0C91"/>
    <w:rsid w:val="61BC4842"/>
    <w:rsid w:val="666C0148"/>
    <w:rsid w:val="67311C63"/>
    <w:rsid w:val="682D4768"/>
    <w:rsid w:val="690D0652"/>
    <w:rsid w:val="71F67D1D"/>
    <w:rsid w:val="72314223"/>
    <w:rsid w:val="73CC77CE"/>
    <w:rsid w:val="747B0AEE"/>
    <w:rsid w:val="75214E53"/>
    <w:rsid w:val="75C64A17"/>
    <w:rsid w:val="7718006C"/>
    <w:rsid w:val="77A019F2"/>
    <w:rsid w:val="782932B9"/>
    <w:rsid w:val="792E154B"/>
    <w:rsid w:val="7B080C49"/>
    <w:rsid w:val="7C5F0ED2"/>
    <w:rsid w:val="7CA459AC"/>
    <w:rsid w:val="7CCB2803"/>
    <w:rsid w:val="7D9A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791</Characters>
  <Lines>6</Lines>
  <Paragraphs>1</Paragraphs>
  <TotalTime>5</TotalTime>
  <ScaleCrop>false</ScaleCrop>
  <LinksUpToDate>false</LinksUpToDate>
  <CharactersWithSpaces>928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2021-04-25T07:30:00Z</dcterms:created>
  <dc:creator>Administrator</dc:creator>
  <cp:lastModifiedBy>好吖</cp:lastModifiedBy>
  <cp:lastPrinted>2021-04-26T08:01:00Z</cp:lastPrinted>
  <dcterms:modified xsi:type="dcterms:W3CDTF">2023-08-24T06:43:29Z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485FE65351C847E6B31536ACE4C327EB</vt:lpwstr>
  </property>
</Properties>
</file>