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兴国县审计局</w:t>
      </w:r>
      <w:r>
        <w:rPr>
          <w:rFonts w:hint="eastAsia" w:ascii="方正小标宋简体" w:hAnsi="方正小标宋简体" w:eastAsia="方正小标宋简体" w:cs="方正小标宋简体"/>
          <w:b w:val="0"/>
          <w:bCs/>
          <w:color w:val="auto"/>
          <w:sz w:val="44"/>
          <w:szCs w:val="44"/>
          <w:lang w:eastAsia="zh-CN"/>
        </w:rPr>
        <w:t>本级</w:t>
      </w:r>
    </w:p>
    <w:p>
      <w:pPr>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2024年单位</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预算编制说明</w:t>
      </w:r>
    </w:p>
    <w:p>
      <w:pPr>
        <w:spacing w:line="560" w:lineRule="exact"/>
        <w:jc w:val="center"/>
        <w:rPr>
          <w:rFonts w:hint="eastAsia" w:ascii="黑体" w:hAnsi="黑体" w:eastAsia="黑体" w:cs="黑体"/>
          <w:sz w:val="36"/>
          <w:szCs w:val="36"/>
        </w:rPr>
      </w:pPr>
    </w:p>
    <w:p>
      <w:pPr>
        <w:spacing w:line="560" w:lineRule="exact"/>
        <w:jc w:val="cente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目  录</w:t>
      </w:r>
    </w:p>
    <w:p>
      <w:pPr>
        <w:spacing w:line="560" w:lineRule="exact"/>
        <w:jc w:val="center"/>
        <w:rPr>
          <w:rFonts w:hint="eastAsia" w:ascii="黑体" w:hAnsi="黑体" w:eastAsia="黑体" w:cs="黑体"/>
          <w:sz w:val="32"/>
          <w:szCs w:val="32"/>
        </w:rPr>
      </w:pP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color w:val="auto"/>
          <w:sz w:val="32"/>
          <w:szCs w:val="32"/>
          <w:lang w:eastAsia="zh-CN"/>
        </w:rPr>
        <w:t>单位</w:t>
      </w:r>
      <w:r>
        <w:rPr>
          <w:rFonts w:hint="eastAsia" w:ascii="仿宋" w:hAnsi="仿宋" w:eastAsia="仿宋" w:cs="仿宋"/>
          <w:b/>
          <w:bCs/>
          <w:color w:val="auto"/>
          <w:sz w:val="32"/>
          <w:szCs w:val="32"/>
        </w:rPr>
        <w:t>概况</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主要职责</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基本情况</w:t>
      </w:r>
    </w:p>
    <w:p>
      <w:pPr>
        <w:spacing w:line="560" w:lineRule="exact"/>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部分</w:t>
      </w:r>
      <w:r>
        <w:rPr>
          <w:rFonts w:hint="eastAsia" w:ascii="仿宋" w:hAnsi="仿宋" w:eastAsia="仿宋" w:cs="仿宋"/>
          <w:b/>
          <w:bCs/>
          <w:color w:val="auto"/>
          <w:sz w:val="32"/>
          <w:szCs w:val="32"/>
          <w:lang w:val="en-US" w:eastAsia="zh-CN"/>
        </w:rPr>
        <w:t xml:space="preserve"> 2024年单位</w:t>
      </w:r>
      <w:r>
        <w:rPr>
          <w:rFonts w:hint="eastAsia" w:ascii="仿宋" w:hAnsi="仿宋" w:eastAsia="仿宋" w:cs="仿宋"/>
          <w:b/>
          <w:bCs/>
          <w:color w:val="auto"/>
          <w:sz w:val="32"/>
          <w:szCs w:val="32"/>
        </w:rPr>
        <w:t>预算情况说明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本单位</w:t>
      </w:r>
      <w:r>
        <w:rPr>
          <w:rFonts w:hint="eastAsia" w:ascii="仿宋" w:hAnsi="仿宋" w:eastAsia="仿宋" w:cs="仿宋"/>
          <w:sz w:val="32"/>
          <w:szCs w:val="32"/>
        </w:rPr>
        <w:t>预算收支情况说明</w:t>
      </w:r>
    </w:p>
    <w:p>
      <w:pPr>
        <w:spacing w:line="560" w:lineRule="exact"/>
        <w:ind w:left="634" w:leftChars="284" w:hanging="38" w:hangingChars="12"/>
        <w:rPr>
          <w:rFonts w:hint="eastAsia"/>
        </w:rPr>
      </w:pPr>
      <w:r>
        <w:rPr>
          <w:rFonts w:hint="eastAsia" w:ascii="仿宋" w:hAnsi="仿宋" w:eastAsia="仿宋" w:cs="仿宋"/>
          <w:sz w:val="32"/>
          <w:szCs w:val="32"/>
        </w:rPr>
        <w:t>二、</w:t>
      </w:r>
      <w:r>
        <w:rPr>
          <w:rFonts w:hint="eastAsia" w:ascii="仿宋" w:hAnsi="仿宋" w:eastAsia="仿宋" w:cs="仿宋"/>
          <w:sz w:val="32"/>
          <w:szCs w:val="32"/>
          <w:lang w:val="en-US" w:eastAsia="zh-CN"/>
        </w:rPr>
        <w:t>2024年</w:t>
      </w:r>
      <w:r>
        <w:rPr>
          <w:rFonts w:hint="eastAsia" w:ascii="仿宋" w:hAnsi="仿宋" w:eastAsia="仿宋" w:cs="仿宋"/>
          <w:sz w:val="32"/>
          <w:szCs w:val="32"/>
        </w:rPr>
        <w:t>“三公”经费预算情况说明</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w:t>
      </w:r>
      <w:r>
        <w:rPr>
          <w:rFonts w:hint="eastAsia" w:ascii="仿宋" w:hAnsi="仿宋" w:eastAsia="仿宋" w:cs="仿宋"/>
          <w:b/>
          <w:bCs/>
          <w:color w:val="FF0000"/>
          <w:sz w:val="32"/>
          <w:szCs w:val="32"/>
          <w:lang w:val="en-US" w:eastAsia="zh-CN"/>
        </w:rPr>
        <w:t xml:space="preserve"> </w:t>
      </w:r>
      <w:r>
        <w:rPr>
          <w:rFonts w:hint="eastAsia" w:ascii="仿宋" w:hAnsi="仿宋" w:eastAsia="仿宋" w:cs="仿宋"/>
          <w:b/>
          <w:bCs/>
          <w:color w:val="auto"/>
          <w:sz w:val="32"/>
          <w:szCs w:val="32"/>
          <w:lang w:val="en-US" w:eastAsia="zh-CN"/>
        </w:rPr>
        <w:t>2024年单位</w:t>
      </w:r>
      <w:r>
        <w:rPr>
          <w:rFonts w:hint="eastAsia" w:ascii="仿宋" w:hAnsi="仿宋" w:eastAsia="仿宋" w:cs="仿宋"/>
          <w:b/>
          <w:bCs/>
          <w:color w:val="auto"/>
          <w:sz w:val="32"/>
          <w:szCs w:val="32"/>
        </w:rPr>
        <w:t>预算表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一、《收支预算总表》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本单位</w:t>
      </w:r>
      <w:r>
        <w:rPr>
          <w:rFonts w:hint="eastAsia" w:ascii="仿宋" w:hAnsi="仿宋" w:eastAsia="仿宋" w:cs="仿宋"/>
          <w:sz w:val="32"/>
          <w:szCs w:val="32"/>
        </w:rPr>
        <w:t>收入总表》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本单位</w:t>
      </w:r>
      <w:r>
        <w:rPr>
          <w:rFonts w:hint="eastAsia" w:ascii="仿宋" w:hAnsi="仿宋" w:eastAsia="仿宋" w:cs="仿宋"/>
          <w:sz w:val="32"/>
          <w:szCs w:val="32"/>
        </w:rPr>
        <w:t>支出总表》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四、《财政拨款收支总表》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五、《一般公共预算支出表》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六、《一般公共预算基本支出表》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七、《一般公共预算“三公”经费支出表》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八、《政府性基金预算支出表》</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十、《项目支出绩效目标表》</w:t>
      </w:r>
    </w:p>
    <w:p>
      <w:pPr>
        <w:spacing w:line="560" w:lineRule="exact"/>
        <w:ind w:left="635" w:leftChars="284" w:hanging="39" w:hangingChars="12"/>
        <w:rPr>
          <w:rFonts w:hint="eastAsia" w:ascii="仿宋" w:hAnsi="仿宋" w:eastAsia="仿宋" w:cs="仿宋"/>
          <w:b/>
          <w:bCs/>
          <w:sz w:val="32"/>
          <w:szCs w:val="32"/>
        </w:rPr>
      </w:pP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pStyle w:val="2"/>
        <w:rPr>
          <w:rFonts w:hint="eastAsia"/>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color w:val="auto"/>
          <w:sz w:val="32"/>
          <w:szCs w:val="32"/>
          <w:lang w:eastAsia="zh-CN"/>
        </w:rPr>
        <w:t>单位</w:t>
      </w:r>
      <w:r>
        <w:rPr>
          <w:rFonts w:hint="eastAsia" w:ascii="黑体" w:hAnsi="黑体" w:eastAsia="黑体" w:cs="黑体"/>
          <w:b w:val="0"/>
          <w:bCs w:val="0"/>
          <w:color w:val="auto"/>
          <w:sz w:val="32"/>
          <w:szCs w:val="32"/>
        </w:rPr>
        <w:t>概况</w:t>
      </w:r>
    </w:p>
    <w:p>
      <w:pPr>
        <w:spacing w:line="560" w:lineRule="exact"/>
        <w:jc w:val="center"/>
        <w:rPr>
          <w:rFonts w:ascii="仿宋" w:hAnsi="仿宋" w:eastAsia="仿宋" w:cs="仿宋"/>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主要职责</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lang w:val="en-US" w:eastAsia="zh-CN"/>
        </w:rPr>
        <w:t xml:space="preserve">审计局是县政府组成部门（直属机构），主要职责是： </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lang w:val="en-US" w:eastAsia="zh-CN"/>
        </w:rPr>
        <w:t xml:space="preserve">（一）组织实施全县的审计工作，贯彻执行《中华人民共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和国审计法》等相关审计工作的方针、政策和法律法规；参与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制定全县地方性审计、财经方面的法规制度；制定审计规章制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度并监督执行情况。 </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lang w:val="en-US" w:eastAsia="zh-CN"/>
        </w:rPr>
        <w:t xml:space="preserve">（二）向县政府、市审计局、省审计厅报告和向县政府有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关部门通报审计情况，提出制定和完善有关政策法规、宏观调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控措施的建议。 </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lang w:val="en-US" w:eastAsia="zh-CN"/>
        </w:rPr>
        <w:t xml:space="preserve">（三）依据《中华人民共和国审计法》的规定的内容、方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式开展审计工作。 </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lang w:val="en-US" w:eastAsia="zh-CN"/>
        </w:rPr>
        <w:t xml:space="preserve">（四）指导与监督内部审计；监督社会审计组织的审计业 </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务质量。 </w:t>
      </w:r>
    </w:p>
    <w:p>
      <w:pPr>
        <w:spacing w:line="560" w:lineRule="exact"/>
        <w:ind w:left="634" w:leftChars="284" w:hanging="38" w:hangingChars="12"/>
        <w:rPr>
          <w:rFonts w:hint="eastAsia" w:ascii="楷体" w:hAnsi="楷体" w:eastAsia="楷体" w:cs="楷体"/>
          <w:color w:val="FF0000"/>
          <w:sz w:val="24"/>
          <w:szCs w:val="24"/>
        </w:rPr>
      </w:pPr>
      <w:r>
        <w:rPr>
          <w:rFonts w:hint="eastAsia" w:ascii="仿宋" w:hAnsi="仿宋" w:eastAsia="仿宋" w:cs="仿宋"/>
          <w:sz w:val="32"/>
          <w:szCs w:val="32"/>
          <w:lang w:val="en-US" w:eastAsia="zh-CN"/>
        </w:rPr>
        <w:t>（五）承办上级审计机关及县委、县政府交办的其他事项。</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基本情况</w:t>
      </w:r>
    </w:p>
    <w:p>
      <w:pPr>
        <w:ind w:firstLine="640" w:firstLineChars="200"/>
        <w:rPr>
          <w:rFonts w:hint="eastAsia" w:ascii="楷体" w:hAnsi="楷体" w:eastAsia="楷体" w:cs="楷体"/>
          <w:color w:val="FF0000"/>
          <w:sz w:val="28"/>
          <w:szCs w:val="28"/>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olor w:val="auto"/>
          <w:sz w:val="32"/>
          <w:szCs w:val="32"/>
          <w:lang w:eastAsia="zh-CN"/>
        </w:rPr>
        <w:t>本单位</w:t>
      </w:r>
      <w:r>
        <w:rPr>
          <w:rFonts w:hint="eastAsia" w:ascii="仿宋" w:hAnsi="仿宋" w:eastAsia="仿宋"/>
          <w:color w:val="auto"/>
          <w:sz w:val="32"/>
          <w:szCs w:val="32"/>
        </w:rPr>
        <w:t>内设处室</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个，分别为：办公室、</w:t>
      </w:r>
      <w:r>
        <w:rPr>
          <w:rFonts w:hint="eastAsia" w:ascii="仿宋" w:hAnsi="仿宋" w:eastAsia="仿宋"/>
          <w:color w:val="auto"/>
          <w:sz w:val="32"/>
          <w:szCs w:val="32"/>
          <w:lang w:eastAsia="zh-CN"/>
        </w:rPr>
        <w:t>财政金融涉外审计股、综合审计股、经济责任审计股、法规审理和电子数据股、固定资产投资审计股、审计技术保障服务中心</w:t>
      </w:r>
      <w:r>
        <w:rPr>
          <w:rFonts w:hint="eastAsia" w:ascii="仿宋" w:hAnsi="仿宋" w:eastAsia="仿宋"/>
          <w:color w:val="auto"/>
          <w:sz w:val="32"/>
          <w:szCs w:val="32"/>
        </w:rPr>
        <w:t>。</w:t>
      </w:r>
    </w:p>
    <w:p>
      <w:pPr>
        <w:bidi w:val="0"/>
        <w:ind w:firstLine="647"/>
        <w:rPr>
          <w:rFonts w:hint="eastAsia" w:ascii="仿宋" w:hAnsi="仿宋" w:eastAsia="仿宋"/>
          <w:sz w:val="32"/>
          <w:szCs w:val="32"/>
        </w:rPr>
      </w:pPr>
      <w:r>
        <w:rPr>
          <w:rFonts w:hint="eastAsia" w:ascii="仿宋" w:hAnsi="仿宋" w:eastAsia="仿宋"/>
          <w:sz w:val="32"/>
          <w:szCs w:val="32"/>
          <w:lang w:eastAsia="zh-CN"/>
        </w:rPr>
        <w:t>本单位</w:t>
      </w:r>
      <w:r>
        <w:rPr>
          <w:rFonts w:hint="eastAsia" w:ascii="仿宋" w:hAnsi="仿宋" w:eastAsia="仿宋"/>
          <w:sz w:val="32"/>
          <w:szCs w:val="32"/>
        </w:rPr>
        <w:t>编制人数小计</w:t>
      </w:r>
      <w:r>
        <w:rPr>
          <w:rFonts w:hint="eastAsia" w:ascii="仿宋" w:hAnsi="仿宋" w:eastAsia="仿宋"/>
          <w:sz w:val="32"/>
          <w:szCs w:val="32"/>
          <w:lang w:val="en-US" w:eastAsia="zh-CN"/>
        </w:rPr>
        <w:t>30</w:t>
      </w:r>
      <w:r>
        <w:rPr>
          <w:rFonts w:hint="eastAsia" w:ascii="仿宋" w:hAnsi="仿宋" w:eastAsia="仿宋"/>
          <w:sz w:val="32"/>
          <w:szCs w:val="32"/>
        </w:rPr>
        <w:t>人,其中：行政编制人数</w:t>
      </w:r>
      <w:r>
        <w:rPr>
          <w:rFonts w:hint="eastAsia" w:ascii="仿宋" w:hAnsi="仿宋" w:eastAsia="仿宋"/>
          <w:sz w:val="32"/>
          <w:szCs w:val="32"/>
          <w:lang w:val="en-US" w:eastAsia="zh-CN"/>
        </w:rPr>
        <w:t>15</w:t>
      </w:r>
      <w:r>
        <w:rPr>
          <w:rFonts w:hint="eastAsia" w:ascii="仿宋" w:hAnsi="仿宋" w:eastAsia="仿宋"/>
          <w:sz w:val="32"/>
          <w:szCs w:val="32"/>
        </w:rPr>
        <w:t>人,参照公务员管理的事业编制人数</w:t>
      </w:r>
      <w:r>
        <w:rPr>
          <w:rFonts w:hint="eastAsia" w:ascii="仿宋" w:hAnsi="仿宋" w:eastAsia="仿宋"/>
          <w:sz w:val="32"/>
          <w:szCs w:val="32"/>
          <w:lang w:val="en-US" w:eastAsia="zh-CN"/>
        </w:rPr>
        <w:t>0</w:t>
      </w:r>
      <w:r>
        <w:rPr>
          <w:rFonts w:hint="eastAsia" w:ascii="仿宋" w:hAnsi="仿宋" w:eastAsia="仿宋"/>
          <w:sz w:val="32"/>
          <w:szCs w:val="32"/>
        </w:rPr>
        <w:t>人,全部补助事业编制人数</w:t>
      </w:r>
      <w:r>
        <w:rPr>
          <w:rFonts w:hint="eastAsia" w:ascii="仿宋" w:hAnsi="仿宋" w:eastAsia="仿宋"/>
          <w:sz w:val="32"/>
          <w:szCs w:val="32"/>
          <w:lang w:val="en-US" w:eastAsia="zh-CN"/>
        </w:rPr>
        <w:t>15</w:t>
      </w:r>
      <w:r>
        <w:rPr>
          <w:rFonts w:hint="eastAsia" w:ascii="仿宋" w:hAnsi="仿宋" w:eastAsia="仿宋"/>
          <w:sz w:val="32"/>
          <w:szCs w:val="32"/>
        </w:rPr>
        <w:t>人,自收自支编制人数</w:t>
      </w:r>
      <w:r>
        <w:rPr>
          <w:rFonts w:hint="eastAsia" w:ascii="仿宋" w:hAnsi="仿宋" w:eastAsia="仿宋"/>
          <w:sz w:val="32"/>
          <w:szCs w:val="32"/>
          <w:lang w:val="en-US" w:eastAsia="zh-CN"/>
        </w:rPr>
        <w:t>0</w:t>
      </w:r>
      <w:r>
        <w:rPr>
          <w:rFonts w:hint="eastAsia" w:ascii="仿宋" w:hAnsi="仿宋" w:eastAsia="仿宋"/>
          <w:sz w:val="32"/>
          <w:szCs w:val="32"/>
        </w:rPr>
        <w:t>人。实有人数小计</w:t>
      </w:r>
      <w:r>
        <w:rPr>
          <w:rFonts w:hint="eastAsia" w:ascii="仿宋" w:hAnsi="仿宋" w:eastAsia="仿宋"/>
          <w:sz w:val="32"/>
          <w:szCs w:val="32"/>
          <w:lang w:val="en-US" w:eastAsia="zh-CN"/>
        </w:rPr>
        <w:t>39</w:t>
      </w:r>
      <w:r>
        <w:rPr>
          <w:rFonts w:hint="eastAsia" w:ascii="仿宋" w:hAnsi="仿宋" w:eastAsia="仿宋"/>
          <w:sz w:val="32"/>
          <w:szCs w:val="32"/>
        </w:rPr>
        <w:t>人,其中：在职人数小计</w:t>
      </w:r>
      <w:r>
        <w:rPr>
          <w:rFonts w:hint="eastAsia" w:ascii="仿宋" w:hAnsi="仿宋" w:eastAsia="仿宋"/>
          <w:sz w:val="32"/>
          <w:szCs w:val="32"/>
          <w:lang w:val="en-US" w:eastAsia="zh-CN"/>
        </w:rPr>
        <w:t>25</w:t>
      </w:r>
      <w:r>
        <w:rPr>
          <w:rFonts w:hint="eastAsia" w:ascii="仿宋" w:hAnsi="仿宋" w:eastAsia="仿宋"/>
          <w:sz w:val="32"/>
          <w:szCs w:val="32"/>
        </w:rPr>
        <w:t>人</w:t>
      </w:r>
      <w:r>
        <w:rPr>
          <w:rFonts w:hint="eastAsia" w:ascii="楷体" w:hAnsi="楷体" w:eastAsia="楷体" w:cs="楷体"/>
          <w:sz w:val="30"/>
          <w:szCs w:val="30"/>
        </w:rPr>
        <w:t>（行政在职人数</w:t>
      </w:r>
      <w:r>
        <w:rPr>
          <w:rFonts w:hint="eastAsia" w:ascii="楷体" w:hAnsi="楷体" w:eastAsia="楷体" w:cs="楷体"/>
          <w:sz w:val="30"/>
          <w:szCs w:val="30"/>
          <w:lang w:val="en-US" w:eastAsia="zh-CN"/>
        </w:rPr>
        <w:t>14</w:t>
      </w:r>
      <w:r>
        <w:rPr>
          <w:rFonts w:hint="eastAsia" w:ascii="楷体" w:hAnsi="楷体" w:eastAsia="楷体" w:cs="楷体"/>
          <w:sz w:val="30"/>
          <w:szCs w:val="30"/>
        </w:rPr>
        <w:t>人,参照公务员管理的事业单位在职人数</w:t>
      </w:r>
      <w:r>
        <w:rPr>
          <w:rFonts w:hint="eastAsia" w:ascii="楷体" w:hAnsi="楷体" w:eastAsia="楷体" w:cs="楷体"/>
          <w:sz w:val="30"/>
          <w:szCs w:val="30"/>
          <w:lang w:val="en-US" w:eastAsia="zh-CN"/>
        </w:rPr>
        <w:t>0</w:t>
      </w:r>
      <w:r>
        <w:rPr>
          <w:rFonts w:hint="eastAsia" w:ascii="楷体" w:hAnsi="楷体" w:eastAsia="楷体" w:cs="楷体"/>
          <w:sz w:val="30"/>
          <w:szCs w:val="30"/>
        </w:rPr>
        <w:t>人,全部补助事业在职人</w:t>
      </w:r>
      <w:bookmarkStart w:id="0" w:name="_GoBack"/>
      <w:bookmarkEnd w:id="0"/>
      <w:r>
        <w:rPr>
          <w:rFonts w:hint="eastAsia" w:ascii="楷体" w:hAnsi="楷体" w:eastAsia="楷体" w:cs="楷体"/>
          <w:sz w:val="30"/>
          <w:szCs w:val="30"/>
        </w:rPr>
        <w:t>数</w:t>
      </w:r>
      <w:r>
        <w:rPr>
          <w:rFonts w:hint="eastAsia" w:ascii="楷体" w:hAnsi="楷体" w:eastAsia="楷体" w:cs="楷体"/>
          <w:sz w:val="30"/>
          <w:szCs w:val="30"/>
          <w:lang w:val="en-US" w:eastAsia="zh-CN"/>
        </w:rPr>
        <w:t>11</w:t>
      </w:r>
      <w:r>
        <w:rPr>
          <w:rFonts w:hint="eastAsia" w:ascii="楷体" w:hAnsi="楷体" w:eastAsia="楷体" w:cs="楷体"/>
          <w:sz w:val="30"/>
          <w:szCs w:val="30"/>
        </w:rPr>
        <w:t>人）</w:t>
      </w:r>
      <w:r>
        <w:rPr>
          <w:rFonts w:hint="eastAsia" w:ascii="仿宋" w:hAnsi="仿宋" w:eastAsia="仿宋"/>
          <w:sz w:val="32"/>
          <w:szCs w:val="32"/>
        </w:rPr>
        <w:t>；离休人数小计</w:t>
      </w:r>
      <w:r>
        <w:rPr>
          <w:rFonts w:hint="eastAsia" w:ascii="仿宋" w:hAnsi="仿宋" w:eastAsia="仿宋"/>
          <w:sz w:val="32"/>
          <w:szCs w:val="32"/>
          <w:lang w:val="en-US" w:eastAsia="zh-CN"/>
        </w:rPr>
        <w:t>0</w:t>
      </w:r>
      <w:r>
        <w:rPr>
          <w:rFonts w:hint="eastAsia" w:ascii="仿宋" w:hAnsi="仿宋" w:eastAsia="仿宋"/>
          <w:sz w:val="32"/>
          <w:szCs w:val="32"/>
        </w:rPr>
        <w:t>人；退休人数小计</w:t>
      </w:r>
      <w:r>
        <w:rPr>
          <w:rFonts w:hint="eastAsia" w:ascii="仿宋" w:hAnsi="仿宋" w:eastAsia="仿宋"/>
          <w:sz w:val="32"/>
          <w:szCs w:val="32"/>
          <w:lang w:val="en-US" w:eastAsia="zh-CN"/>
        </w:rPr>
        <w:t>15</w:t>
      </w:r>
      <w:r>
        <w:rPr>
          <w:rFonts w:hint="eastAsia" w:ascii="仿宋" w:hAnsi="仿宋" w:eastAsia="仿宋"/>
          <w:sz w:val="32"/>
          <w:szCs w:val="32"/>
        </w:rPr>
        <w:t>人。</w:t>
      </w:r>
    </w:p>
    <w:p>
      <w:pPr>
        <w:spacing w:line="24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部分</w:t>
      </w:r>
      <w:r>
        <w:rPr>
          <w:rFonts w:hint="eastAsia" w:ascii="黑体" w:hAnsi="黑体" w:eastAsia="黑体" w:cs="黑体"/>
          <w:b w:val="0"/>
          <w:bCs w:val="0"/>
          <w:sz w:val="32"/>
          <w:szCs w:val="32"/>
          <w:lang w:val="en-US" w:eastAsia="zh-CN"/>
        </w:rPr>
        <w:t xml:space="preserve"> 2024年</w:t>
      </w:r>
      <w:r>
        <w:rPr>
          <w:rFonts w:hint="eastAsia" w:ascii="黑体" w:hAnsi="黑体" w:eastAsia="黑体" w:cs="黑体"/>
          <w:b w:val="0"/>
          <w:bCs w:val="0"/>
          <w:color w:val="auto"/>
          <w:sz w:val="32"/>
          <w:szCs w:val="32"/>
          <w:lang w:eastAsia="zh-CN"/>
        </w:rPr>
        <w:t>单位</w:t>
      </w:r>
      <w:r>
        <w:rPr>
          <w:rFonts w:hint="eastAsia" w:ascii="黑体" w:hAnsi="黑体" w:eastAsia="黑体" w:cs="黑体"/>
          <w:b w:val="0"/>
          <w:bCs w:val="0"/>
          <w:sz w:val="32"/>
          <w:szCs w:val="32"/>
        </w:rPr>
        <w:t>预算情况说明</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2024</w:t>
      </w:r>
      <w:r>
        <w:rPr>
          <w:rFonts w:hint="eastAsia" w:ascii="楷体" w:hAnsi="楷体" w:eastAsia="楷体" w:cs="楷体"/>
          <w:b/>
          <w:bCs/>
          <w:sz w:val="32"/>
          <w:szCs w:val="32"/>
        </w:rPr>
        <w:t>年</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预算收支情况说明</w:t>
      </w:r>
    </w:p>
    <w:p>
      <w:pPr>
        <w:spacing w:line="560" w:lineRule="exact"/>
        <w:ind w:firstLine="643" w:firstLineChars="200"/>
        <w:rPr>
          <w:rFonts w:hint="eastAsia" w:ascii="仿宋" w:hAnsi="仿宋" w:eastAsia="仿宋" w:cs="仿宋"/>
          <w:spacing w:val="4"/>
          <w:sz w:val="30"/>
          <w:szCs w:val="30"/>
        </w:rPr>
      </w:pPr>
      <w:r>
        <w:rPr>
          <w:rFonts w:hint="eastAsia" w:ascii="仿宋" w:hAnsi="仿宋" w:eastAsia="仿宋" w:cs="仿宋"/>
          <w:b/>
          <w:bCs/>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2024 年本单位收入预算总额 886.71 万元，较上年预算安排 减少 252.41 万元，减少 22.15%。减少主要原因是：一是在职人员减少，二是其他收入减少。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其中：财政拨款收入 332.27 万元,较上 年 预 算 安 排 减 少 45.88 万 元 ;其 他 收 入 554.44 万 元 ， 较 上 年 预 算 安 排 减 少 206.53 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2024年本单位支出预算总额886.71万元，较上年预算安排减少252.41万元，减少22.15%。减少主要原因是：一是在职人员减少，二是其他支出减少。具体为：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功能分类科目划分：一般公共服务支出790.72万元,较上年预算安排减少238.65万元;社会保障和就业支出43.15万元,较上年预算安排减少0.16万元;卫生健康支出21.52万元,较上年预算安排减少11.85万元;住房保障支出31.32万元,较上年预算安排减少1.74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项目类别划分：1、基本支出380.71万元，较上年预算安排减少752.41万元，其中：工资福利支出342.47万元，商品和服务支出33.28万元，对个人和家庭的补助4.96万元。2、项目支出506万元，较上年预算安排增加500万元，其中：工资福利支出179.4万元，商品和服务支出306.6万元，资本性支出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24"/>
          <w:szCs w:val="24"/>
          <w:lang w:eastAsia="zh-CN"/>
        </w:rPr>
      </w:pPr>
      <w:r>
        <w:rPr>
          <w:rFonts w:hint="eastAsia" w:ascii="仿宋" w:hAnsi="仿宋" w:eastAsia="仿宋" w:cs="仿宋"/>
          <w:color w:val="auto"/>
          <w:sz w:val="32"/>
          <w:szCs w:val="32"/>
          <w:lang w:val="en-US" w:eastAsia="zh-CN"/>
        </w:rPr>
        <w:t>按支出经济分类科目划分：工资福利支出521.87万元，较上年预算安排减少53.05万元；商品和服务支出333.88万元，较上年预算安排增加40.82万元；对个人和家庭的补助4.96万元，较上年预算安排增加1.15万元；资本性支出20万元，较上年预算安排增加0万元；其他相关支出0万元，较上年预算安排减少241.3万元。</w:t>
      </w:r>
      <w:r>
        <w:rPr>
          <w:rFonts w:hint="eastAsia" w:ascii="仿宋" w:hAnsi="仿宋" w:eastAsia="仿宋" w:cs="仿宋"/>
          <w:color w:val="FF0000"/>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2024年本单位财政拨款（补助）支出预算332.27万元，占本年支出预算额的37.47%，较上年预算安排减少45.88万元，减少12.13%。增减变化主要原因是：在职人员减少。具体为：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功能分类科目划分：一般公共服务支出236.28万元,较上年预算安排减少32.12万元;社会保障和就业支出43.15万元,较上年预算安排减少0.16万元;卫生健康支出21.52万元,较上年预算安排减少11.85万元;住房保障支出31.32万元,较上年预算安排减少1.74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24"/>
          <w:szCs w:val="24"/>
          <w:lang w:eastAsia="zh-CN"/>
        </w:rPr>
      </w:pPr>
      <w:r>
        <w:rPr>
          <w:rFonts w:hint="eastAsia" w:ascii="仿宋" w:hAnsi="仿宋" w:eastAsia="仿宋" w:cs="仿宋"/>
          <w:color w:val="auto"/>
          <w:sz w:val="32"/>
          <w:szCs w:val="32"/>
          <w:lang w:val="en-US" w:eastAsia="zh-CN"/>
        </w:rPr>
        <w:t>按支出项目类别划分：1、基本支出 326.27万元，较上年预算安排减少45.88万元，其中：工资福利支出288.03万元，商品和服务支出33.28万元，对个人和家庭的补助4.96万元。2、项目支出6万元，较上年预算安排增加0万元，其中：商品和服务支出6万元。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rPr>
        <w:t>政府性基金预算拨款安排的支出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国有资本经营情况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仿宋" w:hAnsi="仿宋" w:eastAsia="仿宋" w:cs="仿宋"/>
          <w:color w:val="FF0000"/>
          <w:kern w:val="2"/>
          <w:sz w:val="28"/>
          <w:szCs w:val="28"/>
          <w:lang w:val="en-US" w:eastAsia="zh-CN" w:bidi="ar-SA"/>
        </w:rPr>
      </w:pPr>
      <w:r>
        <w:rPr>
          <w:rFonts w:hint="eastAsia"/>
          <w:lang w:val="en-US" w:eastAsia="zh-CN"/>
        </w:rPr>
        <w:t xml:space="preserve"> </w:t>
      </w:r>
      <w:r>
        <w:rPr>
          <w:rFonts w:hint="eastAsia" w:ascii="仿宋" w:hAnsi="仿宋" w:eastAsia="仿宋" w:cs="仿宋"/>
          <w:color w:val="auto"/>
          <w:sz w:val="32"/>
          <w:szCs w:val="32"/>
          <w:lang w:val="en-US" w:eastAsia="zh-CN"/>
        </w:rPr>
        <w:t xml:space="preserve"> 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lang w:val="en-US" w:eastAsia="zh-CN"/>
        </w:rPr>
        <w:t>无使用国有资本经营预算拨款安排的支出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机关运行经费等重要事项的说明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FF0000"/>
          <w:sz w:val="24"/>
          <w:szCs w:val="24"/>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lang w:eastAsia="zh-CN"/>
        </w:rPr>
        <w:t>年本单位机关运行费预算</w:t>
      </w:r>
      <w:r>
        <w:rPr>
          <w:rFonts w:hint="eastAsia" w:ascii="仿宋" w:hAnsi="仿宋" w:eastAsia="仿宋" w:cs="仿宋"/>
          <w:color w:val="auto"/>
          <w:sz w:val="32"/>
          <w:szCs w:val="32"/>
          <w:lang w:val="en-US" w:eastAsia="zh-CN"/>
        </w:rPr>
        <w:t>33.28</w:t>
      </w:r>
      <w:r>
        <w:rPr>
          <w:rFonts w:hint="eastAsia" w:ascii="仿宋" w:hAnsi="仿宋" w:eastAsia="仿宋" w:cs="仿宋"/>
          <w:color w:val="auto"/>
          <w:sz w:val="32"/>
          <w:szCs w:val="32"/>
          <w:lang w:eastAsia="zh-CN"/>
        </w:rPr>
        <w:t>万元较上年预算安排减少</w:t>
      </w:r>
      <w:r>
        <w:rPr>
          <w:rFonts w:hint="eastAsia" w:ascii="仿宋" w:hAnsi="仿宋" w:eastAsia="仿宋" w:cs="仿宋"/>
          <w:color w:val="auto"/>
          <w:sz w:val="32"/>
          <w:szCs w:val="32"/>
          <w:lang w:val="en-US" w:eastAsia="zh-CN"/>
        </w:rPr>
        <w:t>3.81</w:t>
      </w:r>
      <w:r>
        <w:rPr>
          <w:rFonts w:hint="eastAsia" w:ascii="仿宋" w:hAnsi="仿宋" w:eastAsia="仿宋" w:cs="仿宋"/>
          <w:color w:val="auto"/>
          <w:sz w:val="32"/>
          <w:szCs w:val="32"/>
          <w:lang w:eastAsia="zh-CN"/>
        </w:rPr>
        <w:t>万元，减少</w:t>
      </w:r>
      <w:r>
        <w:rPr>
          <w:rFonts w:hint="eastAsia" w:ascii="仿宋" w:hAnsi="仿宋" w:eastAsia="仿宋" w:cs="仿宋"/>
          <w:color w:val="auto"/>
          <w:sz w:val="32"/>
          <w:szCs w:val="32"/>
          <w:lang w:val="en-US" w:eastAsia="zh-CN"/>
        </w:rPr>
        <w:t>10.3</w:t>
      </w:r>
      <w:r>
        <w:rPr>
          <w:rFonts w:hint="eastAsia" w:ascii="仿宋" w:hAnsi="仿宋" w:eastAsia="仿宋" w:cs="仿宋"/>
          <w:color w:val="auto"/>
          <w:sz w:val="32"/>
          <w:szCs w:val="32"/>
          <w:lang w:eastAsia="zh-CN"/>
        </w:rPr>
        <w:t>%，主要原因是：在职人员减少。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七</w:t>
      </w:r>
      <w:r>
        <w:rPr>
          <w:rFonts w:hint="eastAsia" w:ascii="仿宋" w:hAnsi="仿宋" w:eastAsia="仿宋" w:cs="仿宋"/>
          <w:b/>
          <w:bCs/>
          <w:sz w:val="32"/>
          <w:szCs w:val="32"/>
        </w:rPr>
        <w:t>）政府采购情况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sz w:val="32"/>
          <w:szCs w:val="32"/>
          <w:lang w:eastAsia="zh-CN"/>
        </w:rPr>
        <w:t>本单位</w:t>
      </w:r>
      <w:r>
        <w:rPr>
          <w:rFonts w:hint="eastAsia" w:ascii="仿宋" w:hAnsi="仿宋" w:eastAsia="仿宋" w:cs="仿宋"/>
          <w:color w:val="auto"/>
          <w:sz w:val="32"/>
          <w:szCs w:val="32"/>
        </w:rPr>
        <w:t>政府采购总额</w:t>
      </w:r>
      <w:r>
        <w:rPr>
          <w:rFonts w:hint="eastAsia" w:ascii="仿宋" w:hAnsi="仿宋" w:eastAsia="仿宋" w:cs="仿宋"/>
          <w:color w:val="auto"/>
          <w:sz w:val="32"/>
          <w:szCs w:val="32"/>
          <w:u w:val="single"/>
          <w:lang w:val="en-US" w:eastAsia="zh-CN"/>
        </w:rPr>
        <w:t>20</w:t>
      </w:r>
      <w:r>
        <w:rPr>
          <w:rFonts w:hint="eastAsia" w:ascii="仿宋" w:hAnsi="仿宋" w:eastAsia="仿宋" w:cs="仿宋"/>
          <w:color w:val="auto"/>
          <w:sz w:val="32"/>
          <w:szCs w:val="32"/>
        </w:rPr>
        <w:t>万元，其中：政府采购货物预算</w:t>
      </w:r>
      <w:r>
        <w:rPr>
          <w:rFonts w:hint="eastAsia" w:ascii="仿宋" w:hAnsi="仿宋" w:eastAsia="仿宋" w:cs="仿宋"/>
          <w:color w:val="auto"/>
          <w:sz w:val="32"/>
          <w:szCs w:val="32"/>
          <w:u w:val="single"/>
          <w:lang w:val="en-US" w:eastAsia="zh-CN"/>
        </w:rPr>
        <w:t>20</w:t>
      </w:r>
      <w:r>
        <w:rPr>
          <w:rFonts w:hint="eastAsia" w:ascii="仿宋" w:hAnsi="仿宋" w:eastAsia="仿宋" w:cs="仿宋"/>
          <w:color w:val="auto"/>
          <w:sz w:val="32"/>
          <w:szCs w:val="32"/>
        </w:rPr>
        <w:t>万元、政府采购工程预算</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万元、政府采购服务预算</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八</w:t>
      </w:r>
      <w:r>
        <w:rPr>
          <w:rFonts w:hint="eastAsia" w:ascii="仿宋" w:hAnsi="仿宋" w:eastAsia="仿宋" w:cs="仿宋"/>
          <w:b/>
          <w:bCs/>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b w:val="0"/>
          <w:bCs w:val="0"/>
          <w:color w:val="auto"/>
          <w:sz w:val="32"/>
          <w:szCs w:val="32"/>
          <w:lang w:val="en-US" w:eastAsia="zh-CN"/>
        </w:rPr>
        <w:t>2023年</w:t>
      </w:r>
      <w:r>
        <w:rPr>
          <w:rFonts w:hint="eastAsia" w:ascii="仿宋" w:hAnsi="仿宋" w:eastAsia="仿宋" w:cs="仿宋"/>
          <w:color w:val="auto"/>
          <w:sz w:val="32"/>
          <w:szCs w:val="32"/>
        </w:rPr>
        <w:t>12月31日</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共有车辆</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一般公务用车</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辆、执法执勤用车</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FF0000"/>
          <w:sz w:val="32"/>
          <w:szCs w:val="32"/>
        </w:rPr>
      </w:pPr>
      <w:r>
        <w:rPr>
          <w:rFonts w:hint="eastAsia" w:ascii="仿宋" w:hAnsi="仿宋" w:eastAsia="仿宋" w:cs="仿宋"/>
          <w:color w:val="auto"/>
          <w:sz w:val="32"/>
          <w:szCs w:val="32"/>
          <w:lang w:val="en-US" w:eastAsia="zh-CN"/>
        </w:rPr>
        <w:t>2024年本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预算安排购置车辆</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辆，安排购置单位价值200万元以上大型设备具体为：</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w:t>
      </w:r>
    </w:p>
    <w:p>
      <w:pPr>
        <w:numPr>
          <w:ilvl w:val="0"/>
          <w:numId w:val="2"/>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项目</w:t>
      </w:r>
      <w:r>
        <w:rPr>
          <w:rFonts w:hint="eastAsia" w:ascii="仿宋" w:hAnsi="仿宋" w:eastAsia="仿宋" w:cs="仿宋"/>
          <w:b/>
          <w:bCs/>
          <w:sz w:val="32"/>
          <w:szCs w:val="32"/>
        </w:rPr>
        <w:t>绩效目标设置情况</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zh-CN"/>
        </w:rPr>
      </w:pPr>
      <w:r>
        <w:rPr>
          <w:rFonts w:hint="eastAsia" w:ascii="仿宋" w:hAnsi="仿宋" w:eastAsia="仿宋" w:cs="仿宋"/>
          <w:color w:val="auto"/>
          <w:kern w:val="2"/>
          <w:sz w:val="32"/>
          <w:szCs w:val="32"/>
          <w:lang w:val="en-US" w:eastAsia="zh-CN" w:bidi="ar-SA"/>
        </w:rPr>
        <w:t>2024年本单位项目支出全面实施绩效目标管理。根据以前年度绩效评价结果，优化2024年预算安排</w:t>
      </w:r>
      <w:r>
        <w:rPr>
          <w:rFonts w:hint="eastAsia"/>
          <w:lang w:val="en-US" w:eastAsia="zh-CN"/>
        </w:rPr>
        <w:t xml:space="preserve"> 并进一步改进管理、完善政策。</w:t>
      </w:r>
      <w:r>
        <w:rPr>
          <w:rFonts w:hint="eastAsia" w:ascii="仿宋_GB2312" w:hAnsi="仿宋_GB2312" w:eastAsia="仿宋_GB2312" w:cs="仿宋_GB2312"/>
          <w:kern w:val="2"/>
          <w:sz w:val="32"/>
          <w:szCs w:val="32"/>
          <w:lang w:val="en-US" w:eastAsia="zh-CN" w:bidi="zh-CN"/>
        </w:rPr>
        <w:t>2024年本单位预算安排项目</w:t>
      </w:r>
      <w:r>
        <w:rPr>
          <w:rFonts w:hint="eastAsia" w:ascii="仿宋" w:hAnsi="仿宋" w:eastAsia="仿宋" w:cs="仿宋"/>
          <w:color w:val="auto"/>
          <w:sz w:val="32"/>
          <w:szCs w:val="32"/>
          <w:u w:val="single"/>
          <w:lang w:val="en-US" w:eastAsia="zh-CN"/>
        </w:rPr>
        <w:t>2</w:t>
      </w:r>
      <w:r>
        <w:rPr>
          <w:rFonts w:hint="eastAsia"/>
          <w:lang w:val="en-US" w:eastAsia="zh-CN"/>
        </w:rPr>
        <w:t>个，项目预算金额合计</w:t>
      </w:r>
      <w:r>
        <w:rPr>
          <w:rFonts w:hint="eastAsia"/>
          <w:u w:val="single"/>
          <w:lang w:val="en-US" w:eastAsia="zh-CN"/>
        </w:rPr>
        <w:t>506</w:t>
      </w:r>
      <w:r>
        <w:rPr>
          <w:rFonts w:hint="eastAsia"/>
          <w:lang w:val="en-US" w:eastAsia="zh-CN"/>
        </w:rPr>
        <w:t>万元</w:t>
      </w:r>
      <w:r>
        <w:rPr>
          <w:rFonts w:hint="eastAsia" w:ascii="仿宋_GB2312" w:hAnsi="仿宋_GB2312" w:eastAsia="仿宋_GB2312" w:cs="仿宋_GB2312"/>
          <w:kern w:val="2"/>
          <w:sz w:val="32"/>
          <w:szCs w:val="32"/>
          <w:lang w:val="en-US" w:eastAsia="zh-CN" w:bidi="zh-CN"/>
        </w:rPr>
        <w:t>，其中：</w:t>
      </w:r>
    </w:p>
    <w:p>
      <w:pPr>
        <w:numPr>
          <w:ilvl w:val="0"/>
          <w:numId w:val="0"/>
        </w:numPr>
        <w:spacing w:line="560" w:lineRule="exact"/>
        <w:ind w:firstLine="643" w:firstLineChars="200"/>
        <w:rPr>
          <w:rFonts w:hint="eastAsia" w:ascii="楷体" w:hAnsi="楷体" w:eastAsia="楷体" w:cs="楷体"/>
          <w:b/>
          <w:bCs/>
          <w:color w:val="FF0000"/>
          <w:sz w:val="28"/>
          <w:szCs w:val="28"/>
          <w:lang w:eastAsia="zh-CN"/>
        </w:rPr>
      </w:pPr>
      <w:r>
        <w:rPr>
          <w:rFonts w:hint="eastAsia" w:ascii="仿宋" w:hAnsi="仿宋" w:eastAsia="仿宋" w:cs="仿宋"/>
          <w:b/>
          <w:bCs/>
          <w:sz w:val="32"/>
          <w:szCs w:val="32"/>
          <w:lang w:val="en-US" w:eastAsia="zh-CN"/>
        </w:rPr>
        <w:t>项目一：审计业务费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开展审计项目业务费用</w:t>
      </w:r>
    </w:p>
    <w:p>
      <w:pPr>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：历年安排</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：兴国县审计局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.实施方案：保障开展审计业务所需的各项经费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1年</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：控制审计成本，按时按量完成年初项目计划，提高审计质量，完成审计目标。</w:t>
      </w:r>
    </w:p>
    <w:p>
      <w:pPr>
        <w:numPr>
          <w:ilvl w:val="0"/>
          <w:numId w:val="0"/>
        </w:numPr>
        <w:spacing w:line="560" w:lineRule="exact"/>
        <w:ind w:firstLine="643" w:firstLineChars="200"/>
        <w:rPr>
          <w:rFonts w:hint="eastAsia" w:ascii="楷体" w:hAnsi="楷体" w:eastAsia="楷体" w:cs="楷体"/>
          <w:b/>
          <w:bCs/>
          <w:color w:val="auto"/>
          <w:sz w:val="28"/>
          <w:szCs w:val="28"/>
          <w:lang w:eastAsia="zh-CN"/>
        </w:rPr>
      </w:pPr>
      <w:r>
        <w:rPr>
          <w:rFonts w:hint="eastAsia" w:ascii="仿宋" w:hAnsi="仿宋" w:eastAsia="仿宋" w:cs="仿宋"/>
          <w:b/>
          <w:bCs/>
          <w:color w:val="auto"/>
          <w:sz w:val="32"/>
          <w:szCs w:val="32"/>
          <w:lang w:val="en-US" w:eastAsia="zh-CN"/>
        </w:rPr>
        <w:t>项目二：2024年其他资金</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：审计日常运行经费</w:t>
      </w:r>
    </w:p>
    <w:p>
      <w:pPr>
        <w:spacing w:line="560" w:lineRule="exac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2024年审计项目需要</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：兴国县审计局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.实施方案：保障审计局开展审计工作及维持日常运转所需工作经费。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1年</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500</w:t>
      </w:r>
      <w:r>
        <w:rPr>
          <w:rFonts w:hint="eastAsia" w:ascii="仿宋" w:hAnsi="仿宋" w:eastAsia="仿宋" w:cs="仿宋"/>
          <w:color w:val="auto"/>
          <w:sz w:val="32"/>
          <w:szCs w:val="32"/>
          <w:lang w:eastAsia="zh-CN"/>
        </w:rPr>
        <w:t>万元；预算批复金额：据实拨付。</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：控制审计成本，按时按量完成年初项目计划，提高审计质量，完成审计目标。</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2024年</w:t>
      </w:r>
      <w:r>
        <w:rPr>
          <w:rFonts w:hint="eastAsia" w:ascii="楷体" w:hAnsi="楷体" w:eastAsia="楷体" w:cs="楷体"/>
          <w:b/>
          <w:bCs/>
          <w:sz w:val="32"/>
          <w:szCs w:val="32"/>
        </w:rPr>
        <w:t>“三公”经费预算情况说明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本单位</w:t>
      </w:r>
      <w:r>
        <w:rPr>
          <w:rFonts w:hint="eastAsia" w:ascii="仿宋" w:hAnsi="仿宋" w:eastAsia="仿宋" w:cs="仿宋"/>
          <w:sz w:val="32"/>
          <w:szCs w:val="32"/>
        </w:rPr>
        <w:t>“三公”经费一般公共预算安排</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因公出国（境）费</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sz w:val="32"/>
          <w:szCs w:val="32"/>
        </w:rPr>
        <w:t>，比上</w:t>
      </w:r>
      <w:r>
        <w:rPr>
          <w:rFonts w:hint="eastAsia" w:ascii="仿宋" w:hAnsi="仿宋" w:eastAsia="仿宋" w:cs="仿宋"/>
          <w:color w:val="auto"/>
          <w:sz w:val="32"/>
          <w:szCs w:val="32"/>
        </w:rPr>
        <w:t>年增（减）</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无相关业务，不安排相关资金</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公务接待费</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，比上年增（减）</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无相关业务，不安排相关资金</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公务用车运行维护费</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，比上年增（减）</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无相关业务，不安排相关资金</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color w:val="auto"/>
        </w:rPr>
      </w:pPr>
      <w:r>
        <w:rPr>
          <w:rFonts w:hint="eastAsia" w:ascii="仿宋" w:hAnsi="仿宋" w:eastAsia="仿宋" w:cs="仿宋"/>
          <w:color w:val="auto"/>
          <w:sz w:val="32"/>
          <w:szCs w:val="32"/>
        </w:rPr>
        <w:t>公务用车购置费</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，比上年增（减）</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无相关业务，不安排相关资金</w:t>
      </w:r>
      <w:r>
        <w:rPr>
          <w:rFonts w:hint="eastAsia" w:ascii="仿宋" w:hAnsi="仿宋" w:eastAsia="仿宋" w:cs="仿宋"/>
          <w:color w:val="auto"/>
          <w:sz w:val="32"/>
          <w:szCs w:val="32"/>
        </w:rPr>
        <w:t>。</w:t>
      </w:r>
    </w:p>
    <w:p>
      <w:pPr>
        <w:spacing w:line="560" w:lineRule="exact"/>
        <w:ind w:firstLine="640" w:firstLineChars="200"/>
        <w:rPr>
          <w:rFonts w:ascii="仿宋" w:hAnsi="仿宋" w:eastAsia="仿宋" w:cs="仿宋"/>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 xml:space="preserve">部分 </w:t>
      </w:r>
      <w:r>
        <w:rPr>
          <w:rFonts w:hint="eastAsia" w:ascii="黑体" w:hAnsi="黑体" w:eastAsia="黑体" w:cs="黑体"/>
          <w:b w:val="0"/>
          <w:bCs w:val="0"/>
          <w:sz w:val="32"/>
          <w:szCs w:val="32"/>
          <w:lang w:val="en-US" w:eastAsia="zh-CN"/>
        </w:rPr>
        <w:t>2024年</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预算表</w:t>
      </w:r>
    </w:p>
    <w:p>
      <w:pPr>
        <w:pStyle w:val="2"/>
        <w:jc w:val="center"/>
        <w:rPr>
          <w:rFonts w:hint="eastAsia" w:eastAsia="仿宋"/>
          <w:color w:val="auto"/>
          <w:lang w:eastAsia="zh-CN"/>
        </w:rPr>
      </w:pPr>
      <w:r>
        <w:rPr>
          <w:rFonts w:hint="eastAsia" w:eastAsia="仿宋"/>
          <w:color w:val="auto"/>
          <w:lang w:eastAsia="zh-CN"/>
        </w:rPr>
        <w:t>（详见附表）</w:t>
      </w: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本单位</w:t>
      </w:r>
      <w:r>
        <w:rPr>
          <w:rFonts w:hint="eastAsia" w:ascii="仿宋" w:hAnsi="仿宋" w:eastAsia="仿宋" w:cs="仿宋"/>
          <w:sz w:val="32"/>
          <w:szCs w:val="32"/>
        </w:rPr>
        <w:t>结合实际进行解释。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w:t>
      </w:r>
      <w:r>
        <w:rPr>
          <w:rFonts w:hint="eastAsia" w:ascii="仿宋" w:hAnsi="仿宋" w:eastAsia="仿宋" w:cs="仿宋"/>
          <w:sz w:val="32"/>
          <w:szCs w:val="32"/>
          <w:lang w:eastAsia="zh-CN"/>
        </w:rPr>
        <w:t>本单位</w:t>
      </w:r>
      <w:r>
        <w:rPr>
          <w:rFonts w:hint="eastAsia" w:ascii="仿宋" w:hAnsi="仿宋" w:eastAsia="仿宋" w:cs="仿宋"/>
          <w:sz w:val="32"/>
          <w:szCs w:val="32"/>
        </w:rPr>
        <w:t>和上级单位取得的非财政补助收入。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（七）使用非财政拨款结余：填列历年滚存的非限定用途的非统计财政拨款结余弥补</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年收支差额的数额。</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（八）上年结转和结余：填列</w:t>
      </w:r>
      <w:r>
        <w:rPr>
          <w:rFonts w:hint="eastAsia" w:ascii="仿宋" w:hAnsi="仿宋" w:eastAsia="仿宋" w:cs="仿宋"/>
          <w:sz w:val="32"/>
          <w:szCs w:val="32"/>
          <w:lang w:val="en-US" w:eastAsia="zh-CN"/>
        </w:rPr>
        <w:t>2023</w:t>
      </w:r>
      <w:r>
        <w:rPr>
          <w:rFonts w:hint="eastAsia" w:ascii="仿宋" w:hAnsi="仿宋" w:eastAsia="仿宋" w:cs="仿宋"/>
          <w:sz w:val="32"/>
          <w:szCs w:val="32"/>
        </w:rPr>
        <w:t>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本单位</w:t>
      </w:r>
      <w:r>
        <w:rPr>
          <w:rFonts w:hint="eastAsia" w:ascii="仿宋" w:hAnsi="仿宋" w:eastAsia="仿宋" w:cs="仿宋"/>
          <w:sz w:val="32"/>
          <w:szCs w:val="32"/>
        </w:rPr>
        <w:t>或单位预算中涉及的支出功能分类科目（明细到项级），结合</w:t>
      </w:r>
      <w:r>
        <w:rPr>
          <w:rFonts w:hint="eastAsia" w:ascii="仿宋" w:hAnsi="仿宋" w:eastAsia="仿宋" w:cs="仿宋"/>
          <w:sz w:val="32"/>
          <w:szCs w:val="32"/>
          <w:lang w:eastAsia="zh-CN"/>
        </w:rPr>
        <w:t>本单位</w:t>
      </w:r>
      <w:r>
        <w:rPr>
          <w:rFonts w:hint="eastAsia" w:ascii="仿宋" w:hAnsi="仿宋" w:eastAsia="仿宋" w:cs="仿宋"/>
          <w:sz w:val="32"/>
          <w:szCs w:val="32"/>
        </w:rPr>
        <w:t>实际，参照《</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年政府收支分类科目》的规范说明行解释。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（一）行政运行：反映行政单位（事业单位）的基本支出。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（二）一般行政管理事务：反映行政单位（包括事业单位）未单独设置项级科目的其他项目支出。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w:t>
      </w:r>
      <w:r>
        <w:rPr>
          <w:rFonts w:hint="eastAsia" w:ascii="仿宋" w:hAnsi="仿宋" w:eastAsia="仿宋" w:cs="仿宋"/>
          <w:sz w:val="32"/>
          <w:szCs w:val="32"/>
          <w:lang w:eastAsia="zh-CN"/>
        </w:rPr>
        <w:t>本单位</w:t>
      </w:r>
      <w:r>
        <w:rPr>
          <w:rFonts w:hint="eastAsia" w:ascii="仿宋" w:hAnsi="仿宋" w:eastAsia="仿宋" w:cs="仿宋"/>
          <w:sz w:val="32"/>
          <w:szCs w:val="32"/>
        </w:rPr>
        <w:t>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pPr>
        <w:keepNext w:val="0"/>
        <w:keepLines w:val="0"/>
        <w:pageBreakBefore w:val="0"/>
        <w:widowControl w:val="0"/>
        <w:kinsoku/>
        <w:wordWrap/>
        <w:overflowPunct/>
        <w:topLinePunct w:val="0"/>
        <w:autoSpaceDE/>
        <w:autoSpaceDN/>
        <w:bidi w:val="0"/>
        <w:adjustRightInd/>
        <w:snapToGrid/>
        <w:spacing w:line="600" w:lineRule="exact"/>
        <w:ind w:firstLine="607" w:firstLineChars="189"/>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相关专业名词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各部门结合实际进行解释。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机关运行费：指用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sectPr>
      <w:footerReference r:id="rId3" w:type="default"/>
      <w:pgSz w:w="11906" w:h="16838"/>
      <w:pgMar w:top="1587" w:right="1587" w:bottom="1587" w:left="1587"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6CF173-3C52-4E89-8FBD-01A50C1B99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049D363-84BB-40AB-A3E5-6598A8794C15}"/>
  </w:font>
  <w:font w:name="方正小标宋简体">
    <w:panose1 w:val="02000000000000000000"/>
    <w:charset w:val="86"/>
    <w:family w:val="auto"/>
    <w:pitch w:val="default"/>
    <w:sig w:usb0="00000001" w:usb1="08000000" w:usb2="00000000" w:usb3="00000000" w:csb0="00040000" w:csb1="00000000"/>
    <w:embedRegular r:id="rId3" w:fontKey="{8CD52F11-E4E4-4CB6-9BC5-FF9417990891}"/>
  </w:font>
  <w:font w:name="仿宋">
    <w:panose1 w:val="02010609060101010101"/>
    <w:charset w:val="86"/>
    <w:family w:val="auto"/>
    <w:pitch w:val="default"/>
    <w:sig w:usb0="800002BF" w:usb1="38CF7CFA" w:usb2="00000016" w:usb3="00000000" w:csb0="00040001" w:csb1="00000000"/>
    <w:embedRegular r:id="rId4" w:fontKey="{9E4AA2C8-73CF-4AA6-B526-F8E72258C513}"/>
  </w:font>
  <w:font w:name="楷体">
    <w:panose1 w:val="02010609060101010101"/>
    <w:charset w:val="86"/>
    <w:family w:val="auto"/>
    <w:pitch w:val="default"/>
    <w:sig w:usb0="800002BF" w:usb1="38CF7CFA" w:usb2="00000016" w:usb3="00000000" w:csb0="00040001" w:csb1="00000000"/>
    <w:embedRegular r:id="rId5" w:fontKey="{88C6800D-52F4-4BCB-802D-4135BA146F5B}"/>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eN1sfdABAACnAwAADgAAAAAAAAABACAAAAAeAQAAZHJz&#10;L2Uyb0RvYy54bWxQSwUGAAAAAAYABgBZAQAAYAUAAAAA&#10;">
              <v:fill on="f" focussize="0,0"/>
              <v:stroke on="f"/>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95FC0"/>
    <w:multiLevelType w:val="singleLevel"/>
    <w:tmpl w:val="36095FC0"/>
    <w:lvl w:ilvl="0" w:tentative="0">
      <w:start w:val="5"/>
      <w:numFmt w:val="chineseCounting"/>
      <w:suff w:val="nothing"/>
      <w:lvlText w:val="（%1）"/>
      <w:lvlJc w:val="left"/>
      <w:rPr>
        <w:rFonts w:hint="eastAsia"/>
      </w:rPr>
    </w:lvl>
  </w:abstractNum>
  <w:abstractNum w:abstractNumId="1">
    <w:nsid w:val="79A49182"/>
    <w:multiLevelType w:val="singleLevel"/>
    <w:tmpl w:val="79A49182"/>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NDAzNjExOTgzMGMzZDIzZWE3ZmE3NWZiYmE5OTUifQ=="/>
  </w:docVars>
  <w:rsids>
    <w:rsidRoot w:val="445E02C8"/>
    <w:rsid w:val="027F4D04"/>
    <w:rsid w:val="031763B2"/>
    <w:rsid w:val="04EE7A30"/>
    <w:rsid w:val="06604E4C"/>
    <w:rsid w:val="06A76233"/>
    <w:rsid w:val="07E850FA"/>
    <w:rsid w:val="09F31EAA"/>
    <w:rsid w:val="0A1569B2"/>
    <w:rsid w:val="0BA63302"/>
    <w:rsid w:val="0C5478CE"/>
    <w:rsid w:val="0E9C643B"/>
    <w:rsid w:val="1082318D"/>
    <w:rsid w:val="111F02E9"/>
    <w:rsid w:val="13F15F8F"/>
    <w:rsid w:val="150775E9"/>
    <w:rsid w:val="178D35C8"/>
    <w:rsid w:val="17A74689"/>
    <w:rsid w:val="18DB1DDF"/>
    <w:rsid w:val="19CF11C0"/>
    <w:rsid w:val="1C2146C5"/>
    <w:rsid w:val="1C215462"/>
    <w:rsid w:val="1C33298F"/>
    <w:rsid w:val="1DE32862"/>
    <w:rsid w:val="1EA8395A"/>
    <w:rsid w:val="1F3C7A89"/>
    <w:rsid w:val="2078515F"/>
    <w:rsid w:val="21E85FCA"/>
    <w:rsid w:val="23AA765C"/>
    <w:rsid w:val="251E54C0"/>
    <w:rsid w:val="298505A2"/>
    <w:rsid w:val="2A1A746D"/>
    <w:rsid w:val="2B4C5BFE"/>
    <w:rsid w:val="2B913DE4"/>
    <w:rsid w:val="2C8E5424"/>
    <w:rsid w:val="2C95120B"/>
    <w:rsid w:val="2D0B74FE"/>
    <w:rsid w:val="2E0D2197"/>
    <w:rsid w:val="30114F83"/>
    <w:rsid w:val="326D79FF"/>
    <w:rsid w:val="32D9156D"/>
    <w:rsid w:val="330F1CC3"/>
    <w:rsid w:val="34E242D7"/>
    <w:rsid w:val="38AD1BFF"/>
    <w:rsid w:val="390457DD"/>
    <w:rsid w:val="39CB4271"/>
    <w:rsid w:val="3A4013F4"/>
    <w:rsid w:val="3B242C2B"/>
    <w:rsid w:val="3B5E4280"/>
    <w:rsid w:val="3D1C0200"/>
    <w:rsid w:val="3D4203D1"/>
    <w:rsid w:val="3E205E34"/>
    <w:rsid w:val="3F5F2902"/>
    <w:rsid w:val="3FBA387B"/>
    <w:rsid w:val="3FF34163"/>
    <w:rsid w:val="3FFE2FA6"/>
    <w:rsid w:val="43A07564"/>
    <w:rsid w:val="445E02C8"/>
    <w:rsid w:val="44974855"/>
    <w:rsid w:val="46D222BE"/>
    <w:rsid w:val="47CB43AE"/>
    <w:rsid w:val="486457A8"/>
    <w:rsid w:val="49F816D3"/>
    <w:rsid w:val="4A176B9D"/>
    <w:rsid w:val="4B1F3F5B"/>
    <w:rsid w:val="4B374EE4"/>
    <w:rsid w:val="4E24301F"/>
    <w:rsid w:val="4E70455F"/>
    <w:rsid w:val="4F604F02"/>
    <w:rsid w:val="51607C9B"/>
    <w:rsid w:val="51E11E2A"/>
    <w:rsid w:val="55674D18"/>
    <w:rsid w:val="56424FA2"/>
    <w:rsid w:val="57605352"/>
    <w:rsid w:val="5BBB7CD0"/>
    <w:rsid w:val="5C71038F"/>
    <w:rsid w:val="5D4F6922"/>
    <w:rsid w:val="5D684B73"/>
    <w:rsid w:val="5ED74BD0"/>
    <w:rsid w:val="603B26DF"/>
    <w:rsid w:val="60836580"/>
    <w:rsid w:val="60F4333C"/>
    <w:rsid w:val="628B65C5"/>
    <w:rsid w:val="64DF568A"/>
    <w:rsid w:val="66097669"/>
    <w:rsid w:val="668D7B53"/>
    <w:rsid w:val="6777757E"/>
    <w:rsid w:val="67C633D9"/>
    <w:rsid w:val="68CA3301"/>
    <w:rsid w:val="69887333"/>
    <w:rsid w:val="6A702141"/>
    <w:rsid w:val="6A8D2838"/>
    <w:rsid w:val="6BAC3B39"/>
    <w:rsid w:val="6C4E52AE"/>
    <w:rsid w:val="6D5C1EA0"/>
    <w:rsid w:val="6DF75CCF"/>
    <w:rsid w:val="6E2045C4"/>
    <w:rsid w:val="6E62055E"/>
    <w:rsid w:val="6E7F6F94"/>
    <w:rsid w:val="71724DA6"/>
    <w:rsid w:val="71FC3F4E"/>
    <w:rsid w:val="721205EF"/>
    <w:rsid w:val="732E0930"/>
    <w:rsid w:val="73A74A77"/>
    <w:rsid w:val="73AF6429"/>
    <w:rsid w:val="748D6B9A"/>
    <w:rsid w:val="750951B1"/>
    <w:rsid w:val="7677439C"/>
    <w:rsid w:val="76944F4E"/>
    <w:rsid w:val="772264B5"/>
    <w:rsid w:val="79874FE5"/>
    <w:rsid w:val="7D40254D"/>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仿宋_GB2312" w:hAnsi="仿宋_GB2312" w:eastAsia="仿宋_GB2312" w:cs="仿宋_GB2312"/>
      <w:sz w:val="32"/>
      <w:szCs w:val="32"/>
      <w:lang w:val="zh-CN" w:bidi="zh-CN"/>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3189</Words>
  <Characters>3387</Characters>
  <Lines>0</Lines>
  <Paragraphs>0</Paragraphs>
  <TotalTime>102</TotalTime>
  <ScaleCrop>false</ScaleCrop>
  <LinksUpToDate>false</LinksUpToDate>
  <CharactersWithSpaces>3478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2022-01-30T01:32:00Z</dcterms:created>
  <dc:creator>巫媛</dc:creator>
  <cp:lastModifiedBy>2015122907</cp:lastModifiedBy>
  <dcterms:modified xsi:type="dcterms:W3CDTF">2024-02-28T01:57:51Z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643D68F23D5C4D9D9CE299282A64CD68_13</vt:lpwstr>
  </property>
</Properties>
</file>