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楷体" w:hAnsi="楷体" w:eastAsia="楷体" w:cs="楷体"/>
          <w:sz w:val="30"/>
          <w:szCs w:val="30"/>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兴国县市场监督管理局</w:t>
      </w:r>
      <w:r>
        <w:rPr>
          <w:rFonts w:hint="eastAsia" w:ascii="方正小标宋简体" w:hAnsi="方正小标宋简体" w:eastAsia="方正小标宋简体" w:cs="方正小标宋简体"/>
          <w:sz w:val="44"/>
          <w:szCs w:val="44"/>
        </w:rPr>
        <w:t>2022年度</w:t>
      </w:r>
      <w:r>
        <w:rPr>
          <w:rFonts w:hint="eastAsia" w:ascii="方正小标宋简体" w:hAnsi="方正小标宋简体" w:eastAsia="方正小标宋简体" w:cs="方正小标宋简体"/>
          <w:sz w:val="44"/>
          <w:szCs w:val="44"/>
          <w:lang w:val="en-US" w:eastAsia="zh-CN"/>
        </w:rPr>
        <w:t>部门</w:t>
      </w:r>
      <w:r>
        <w:rPr>
          <w:rFonts w:hint="eastAsia" w:ascii="方正小标宋简体" w:hAnsi="方正小标宋简体" w:eastAsia="方正小标宋简体" w:cs="方正小标宋简体"/>
          <w:sz w:val="44"/>
          <w:szCs w:val="44"/>
        </w:rPr>
        <w:t>决算</w:t>
      </w:r>
    </w:p>
    <w:p>
      <w:pPr>
        <w:spacing w:line="600" w:lineRule="exact"/>
        <w:rPr>
          <w:rFonts w:hint="eastAsia" w:ascii="黑体" w:eastAsia="黑体"/>
          <w:sz w:val="44"/>
          <w:szCs w:val="36"/>
        </w:rPr>
      </w:pPr>
    </w:p>
    <w:p>
      <w:pPr>
        <w:spacing w:line="600" w:lineRule="exact"/>
        <w:jc w:val="center"/>
        <w:rPr>
          <w:rFonts w:hint="eastAsia" w:ascii="黑体" w:hAnsi="黑体" w:eastAsia="黑体" w:cs="黑体"/>
          <w:b/>
          <w:bCs/>
          <w:sz w:val="40"/>
          <w:szCs w:val="36"/>
        </w:rPr>
      </w:pPr>
      <w:r>
        <w:rPr>
          <w:rFonts w:hint="eastAsia" w:ascii="黑体" w:hAnsi="黑体" w:eastAsia="黑体" w:cs="黑体"/>
          <w:b/>
          <w:bCs/>
          <w:sz w:val="40"/>
          <w:szCs w:val="36"/>
        </w:rPr>
        <w:t>目    录</w:t>
      </w:r>
    </w:p>
    <w:p>
      <w:pPr>
        <w:widowControl/>
        <w:spacing w:line="600" w:lineRule="exact"/>
        <w:ind w:firstLine="640"/>
        <w:rPr>
          <w:rFonts w:hint="eastAsia" w:ascii="仿宋_GB2312" w:eastAsia="仿宋_GB2312"/>
          <w:sz w:val="32"/>
          <w:szCs w:val="30"/>
        </w:rPr>
      </w:pPr>
    </w:p>
    <w:p>
      <w:pPr>
        <w:widowControl/>
        <w:spacing w:line="600" w:lineRule="exact"/>
        <w:ind w:firstLine="640" w:firstLineChars="200"/>
        <w:rPr>
          <w:rFonts w:hint="eastAsia" w:ascii="黑体" w:hAnsi="黑体" w:eastAsia="黑体" w:cs="黑体"/>
          <w:bCs/>
          <w:sz w:val="32"/>
          <w:szCs w:val="32"/>
        </w:rPr>
      </w:pPr>
      <w:r>
        <w:rPr>
          <w:rFonts w:hint="eastAsia" w:ascii="黑体" w:hAnsi="黑体" w:eastAsia="黑体"/>
          <w:bCs/>
          <w:sz w:val="32"/>
          <w:szCs w:val="32"/>
        </w:rPr>
        <w:t xml:space="preserve">第一部分 </w:t>
      </w:r>
      <w:r>
        <w:rPr>
          <w:rFonts w:hint="eastAsia" w:ascii="黑体" w:hAnsi="黑体" w:eastAsia="黑体" w:cs="黑体"/>
          <w:bCs/>
          <w:sz w:val="32"/>
          <w:szCs w:val="32"/>
          <w:lang w:val="en-US" w:eastAsia="zh-CN"/>
        </w:rPr>
        <w:t>兴国县市场监督管理局</w:t>
      </w:r>
      <w:r>
        <w:rPr>
          <w:rFonts w:hint="eastAsia" w:ascii="黑体" w:hAnsi="黑体" w:eastAsia="黑体" w:cs="黑体"/>
          <w:bCs/>
          <w:sz w:val="32"/>
          <w:szCs w:val="32"/>
        </w:rPr>
        <w:t>概况</w:t>
      </w:r>
    </w:p>
    <w:p>
      <w:pPr>
        <w:widowControl/>
        <w:spacing w:line="600" w:lineRule="exact"/>
        <w:ind w:firstLine="1280" w:firstLineChars="400"/>
        <w:rPr>
          <w:rFonts w:hint="eastAsia" w:ascii="仿宋_GB2312" w:hAnsi="仿宋_GB2312" w:eastAsia="仿宋_GB2312"/>
          <w:sz w:val="32"/>
          <w:szCs w:val="30"/>
          <w:lang w:eastAsia="zh-CN"/>
        </w:rPr>
      </w:pPr>
      <w:r>
        <w:rPr>
          <w:rFonts w:hint="eastAsia" w:ascii="仿宋_GB2312" w:hAnsi="仿宋_GB2312" w:eastAsia="仿宋_GB2312"/>
          <w:sz w:val="32"/>
          <w:szCs w:val="30"/>
        </w:rPr>
        <w:t>一、部门主要职</w:t>
      </w:r>
      <w:r>
        <w:rPr>
          <w:rFonts w:hint="eastAsia" w:ascii="仿宋_GB2312" w:hAnsi="仿宋_GB2312" w:eastAsia="仿宋_GB2312"/>
          <w:sz w:val="32"/>
          <w:szCs w:val="30"/>
          <w:lang w:eastAsia="zh-CN"/>
        </w:rPr>
        <w:t>能</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二、部门基本情况</w:t>
      </w:r>
    </w:p>
    <w:p>
      <w:pPr>
        <w:widowControl/>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第二部分  2022年度部门决算表</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四、财政拨款收入支出决算总表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五、一般公共预算财政拨款支出决算表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六、一般公共预算财政拨款基本支出决算表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七、政府性基金预算财政拨款收入支出决算表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八、国有资本经营预算财政拨款支出决算表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九、财政拨款“三公”经费支出决算表</w:t>
      </w:r>
    </w:p>
    <w:p>
      <w:pPr>
        <w:widowControl/>
        <w:spacing w:line="600" w:lineRule="exact"/>
        <w:ind w:firstLine="1280" w:firstLineChars="4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十、国有资产占用情况表</w:t>
      </w:r>
    </w:p>
    <w:p>
      <w:pPr>
        <w:widowControl/>
        <w:spacing w:line="600" w:lineRule="exact"/>
        <w:ind w:firstLine="640" w:firstLineChars="200"/>
        <w:rPr>
          <w:rFonts w:hint="eastAsia" w:ascii="黑体" w:hAnsi="黑体" w:eastAsia="黑体"/>
          <w:sz w:val="32"/>
          <w:szCs w:val="32"/>
        </w:rPr>
      </w:pPr>
    </w:p>
    <w:p>
      <w:pPr>
        <w:widowControl/>
        <w:spacing w:line="600" w:lineRule="exact"/>
        <w:ind w:firstLine="640" w:firstLineChars="200"/>
        <w:rPr>
          <w:rFonts w:hint="eastAsia" w:ascii="黑体" w:hAnsi="黑体" w:eastAsia="黑体"/>
          <w:sz w:val="32"/>
          <w:szCs w:val="32"/>
        </w:rPr>
      </w:pPr>
    </w:p>
    <w:p>
      <w:pPr>
        <w:widowControl/>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第三部分  2022年度部门决算情况说明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五、财政拨款“三公”经费支出决算情况说明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七、政府采购支出情况说明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八、国有资产占用情况说明</w:t>
      </w:r>
    </w:p>
    <w:p>
      <w:pPr>
        <w:widowControl/>
        <w:spacing w:line="600" w:lineRule="exact"/>
        <w:ind w:firstLine="1280" w:firstLineChars="400"/>
        <w:rPr>
          <w:rFonts w:hint="eastAsia" w:ascii="仿宋_GB2312" w:hAnsi="仿宋_GB2312" w:eastAsia="仿宋_GB2312"/>
          <w:sz w:val="32"/>
          <w:szCs w:val="30"/>
        </w:rPr>
      </w:pPr>
      <w:r>
        <w:rPr>
          <w:rFonts w:hint="eastAsia" w:ascii="仿宋_GB2312" w:hAnsi="仿宋_GB2312" w:eastAsia="仿宋_GB2312"/>
          <w:sz w:val="32"/>
          <w:szCs w:val="30"/>
        </w:rPr>
        <w:t>九、预算绩效情况说明</w:t>
      </w:r>
    </w:p>
    <w:p>
      <w:pPr>
        <w:widowControl/>
        <w:spacing w:line="60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widowControl/>
        <w:spacing w:line="600" w:lineRule="exact"/>
        <w:ind w:firstLine="640" w:firstLineChars="200"/>
        <w:rPr>
          <w:rFonts w:ascii="黑体" w:hAnsi="黑体" w:eastAsia="黑体"/>
          <w:sz w:val="32"/>
          <w:szCs w:val="32"/>
        </w:rPr>
      </w:pPr>
      <w:r>
        <w:rPr>
          <w:rFonts w:hint="eastAsia" w:ascii="黑体" w:hAnsi="黑体" w:eastAsia="黑体"/>
          <w:sz w:val="32"/>
          <w:szCs w:val="32"/>
        </w:rPr>
        <w:t>第五部分  附件</w:t>
      </w:r>
    </w:p>
    <w:p>
      <w:pPr>
        <w:spacing w:line="600" w:lineRule="exact"/>
        <w:ind w:firstLine="630"/>
        <w:rPr>
          <w:rFonts w:hint="eastAsia" w:ascii="宋体" w:hAnsi="宋体"/>
          <w:b/>
          <w:sz w:val="32"/>
          <w:szCs w:val="30"/>
        </w:rPr>
      </w:pPr>
      <w:r>
        <w:rPr>
          <w:rFonts w:hint="eastAsia" w:ascii="宋体" w:hAnsi="宋体"/>
          <w:b/>
          <w:sz w:val="36"/>
          <w:szCs w:val="36"/>
        </w:rPr>
        <w:br w:type="page"/>
      </w:r>
    </w:p>
    <w:p>
      <w:pPr>
        <w:widowControl/>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第一部分  </w:t>
      </w:r>
      <w:r>
        <w:rPr>
          <w:rFonts w:hint="eastAsia" w:ascii="方正小标宋简体" w:hAnsi="方正小标宋简体" w:eastAsia="方正小标宋简体" w:cs="方正小标宋简体"/>
          <w:bCs/>
          <w:sz w:val="44"/>
          <w:szCs w:val="44"/>
          <w:lang w:val="en-US" w:eastAsia="zh-CN"/>
        </w:rPr>
        <w:t>兴国县市场监督管理局</w:t>
      </w:r>
      <w:r>
        <w:rPr>
          <w:rFonts w:hint="eastAsia" w:ascii="方正小标宋简体" w:hAnsi="方正小标宋简体" w:eastAsia="方正小标宋简体" w:cs="方正小标宋简体"/>
          <w:bCs/>
          <w:sz w:val="44"/>
          <w:szCs w:val="44"/>
        </w:rPr>
        <w:t>概况</w:t>
      </w:r>
    </w:p>
    <w:p>
      <w:pPr>
        <w:spacing w:line="600" w:lineRule="exact"/>
        <w:ind w:firstLine="630"/>
        <w:jc w:val="center"/>
        <w:rPr>
          <w:rFonts w:hint="eastAsia"/>
          <w:sz w:val="32"/>
          <w:szCs w:val="32"/>
        </w:rPr>
      </w:pPr>
    </w:p>
    <w:p>
      <w:pPr>
        <w:numPr>
          <w:ilvl w:val="0"/>
          <w:numId w:val="1"/>
        </w:numPr>
        <w:spacing w:line="600" w:lineRule="exact"/>
        <w:ind w:firstLine="630"/>
        <w:rPr>
          <w:rFonts w:hint="eastAsia" w:ascii="黑体" w:hAnsi="黑体" w:eastAsia="黑体"/>
          <w:sz w:val="32"/>
          <w:szCs w:val="32"/>
        </w:rPr>
      </w:pPr>
      <w:r>
        <w:rPr>
          <w:rFonts w:hint="eastAsia" w:ascii="黑体" w:hAnsi="黑体" w:eastAsia="黑体"/>
          <w:sz w:val="32"/>
          <w:szCs w:val="32"/>
          <w:lang w:eastAsia="zh-CN"/>
        </w:rPr>
        <w:t>部门</w:t>
      </w:r>
      <w:r>
        <w:rPr>
          <w:rFonts w:hint="eastAsia" w:ascii="黑体" w:hAnsi="黑体" w:eastAsia="黑体"/>
          <w:sz w:val="32"/>
          <w:szCs w:val="32"/>
        </w:rPr>
        <w:t>主要职</w:t>
      </w:r>
      <w:r>
        <w:rPr>
          <w:rFonts w:hint="eastAsia" w:ascii="黑体" w:hAnsi="黑体" w:eastAsia="黑体"/>
          <w:sz w:val="32"/>
          <w:szCs w:val="32"/>
          <w:lang w:eastAsia="zh-CN"/>
        </w:rPr>
        <w:t>能</w:t>
      </w:r>
    </w:p>
    <w:p>
      <w:pPr>
        <w:spacing w:line="560" w:lineRule="exact"/>
        <w:ind w:left="10" w:leftChars="5" w:firstLine="640" w:firstLineChars="200"/>
        <w:rPr>
          <w:rFonts w:hint="eastAsia" w:ascii="黑体" w:hAnsi="黑体" w:eastAsia="黑体"/>
          <w:sz w:val="32"/>
          <w:szCs w:val="32"/>
        </w:rPr>
      </w:pPr>
      <w:r>
        <w:rPr>
          <w:rFonts w:hint="eastAsia" w:ascii="仿宋" w:hAnsi="仿宋" w:eastAsia="仿宋" w:cs="仿宋"/>
          <w:sz w:val="32"/>
          <w:szCs w:val="32"/>
        </w:rPr>
        <w:t>兴国县市场监督管理局是主管食品药品监督管理、工商行政管理、质量技术监督等方面工作的县政府组成部门，主要职责是：负责食品、药品、化妆品、医疗器械、特种设备、价格监督检查和反不正当竞争、知识产权战略、计量器具等产品质量安全监督管理，监督管理市场交易行为和网络交易及有关服务行为，负责全县商标监督、标准化管理等，承办县政府和上级主管部门交办的其他事项。</w:t>
      </w:r>
    </w:p>
    <w:p>
      <w:pPr>
        <w:spacing w:line="600" w:lineRule="exact"/>
        <w:ind w:firstLine="630"/>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部门</w:t>
      </w:r>
      <w:r>
        <w:rPr>
          <w:rFonts w:hint="eastAsia" w:ascii="黑体" w:hAnsi="黑体" w:eastAsia="黑体"/>
          <w:sz w:val="32"/>
          <w:szCs w:val="32"/>
        </w:rPr>
        <w:t>基本情况</w:t>
      </w:r>
    </w:p>
    <w:p>
      <w:pPr>
        <w:spacing w:line="600" w:lineRule="exact"/>
        <w:ind w:firstLine="630"/>
        <w:rPr>
          <w:rFonts w:hint="eastAsia" w:ascii="仿宋_GB2312" w:hAnsi="仿宋_GB2312" w:eastAsia="仿宋_GB2312"/>
          <w:sz w:val="32"/>
          <w:szCs w:val="32"/>
        </w:rPr>
      </w:pPr>
      <w:r>
        <w:rPr>
          <w:rFonts w:hint="eastAsia" w:ascii="仿宋_GB2312" w:hAnsi="仿宋_GB2312" w:eastAsia="仿宋_GB2312"/>
          <w:sz w:val="32"/>
          <w:szCs w:val="32"/>
        </w:rPr>
        <w:t>纳入本套部门决算汇编范围的单位共</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个，包括：</w:t>
      </w:r>
      <w:r>
        <w:rPr>
          <w:rFonts w:hint="eastAsia" w:ascii="仿宋_GB2312" w:hAnsi="仿宋_GB2312" w:eastAsia="仿宋_GB2312"/>
          <w:sz w:val="32"/>
          <w:szCs w:val="32"/>
          <w:lang w:val="en-US" w:eastAsia="zh-CN"/>
        </w:rPr>
        <w:t>兴国县市场监督管理局</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Times New Roman"/>
          <w:sz w:val="32"/>
          <w:szCs w:val="32"/>
        </w:rPr>
      </w:pPr>
      <w:r>
        <w:rPr>
          <w:rFonts w:hint="eastAsia" w:ascii="仿宋_GB2312" w:hAnsi="仿宋_GB2312" w:eastAsia="仿宋_GB2312"/>
          <w:sz w:val="32"/>
          <w:szCs w:val="32"/>
        </w:rPr>
        <w:t>本</w:t>
      </w:r>
      <w:r>
        <w:rPr>
          <w:rFonts w:hint="eastAsia" w:ascii="仿宋_GB2312" w:hAnsi="仿宋_GB2312" w:eastAsia="仿宋_GB2312"/>
          <w:sz w:val="32"/>
          <w:szCs w:val="32"/>
          <w:lang w:eastAsia="zh-CN"/>
        </w:rPr>
        <w:t>部门</w:t>
      </w:r>
      <w:r>
        <w:rPr>
          <w:rFonts w:hint="eastAsia" w:ascii="仿宋_GB2312" w:hAnsi="仿宋_GB2312" w:eastAsia="仿宋_GB2312"/>
          <w:sz w:val="32"/>
          <w:szCs w:val="32"/>
        </w:rPr>
        <w:t>2022年年末实有人数</w:t>
      </w:r>
      <w:r>
        <w:rPr>
          <w:rFonts w:hint="eastAsia" w:ascii="仿宋_GB2312" w:hAnsi="仿宋_GB2312" w:eastAsia="仿宋_GB2312"/>
          <w:sz w:val="32"/>
          <w:szCs w:val="32"/>
          <w:lang w:val="en-US" w:eastAsia="zh-CN"/>
        </w:rPr>
        <w:t>165</w:t>
      </w:r>
      <w:r>
        <w:rPr>
          <w:rFonts w:hint="eastAsia" w:ascii="仿宋_GB2312" w:hAnsi="仿宋_GB2312" w:eastAsia="仿宋_GB2312"/>
          <w:sz w:val="32"/>
          <w:szCs w:val="32"/>
        </w:rPr>
        <w:t>人，其中在职人员</w:t>
      </w:r>
      <w:r>
        <w:rPr>
          <w:rFonts w:hint="eastAsia" w:ascii="仿宋_GB2312" w:hAnsi="仿宋_GB2312" w:eastAsia="仿宋_GB2312"/>
          <w:sz w:val="32"/>
          <w:szCs w:val="32"/>
          <w:lang w:val="en-US" w:eastAsia="zh-CN"/>
        </w:rPr>
        <w:t>163</w:t>
      </w:r>
      <w:r>
        <w:rPr>
          <w:rFonts w:hint="eastAsia" w:ascii="仿宋_GB2312" w:hAnsi="仿宋_GB2312" w:eastAsia="仿宋_GB2312"/>
          <w:sz w:val="32"/>
          <w:szCs w:val="32"/>
        </w:rPr>
        <w:t>人，离休人员</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人，退</w:t>
      </w:r>
      <w:r>
        <w:rPr>
          <w:rFonts w:hint="eastAsia" w:ascii="仿宋_GB2312" w:hAnsi="仿宋_GB2312" w:eastAsia="仿宋_GB2312" w:cs="Times New Roman"/>
          <w:sz w:val="32"/>
          <w:szCs w:val="32"/>
        </w:rPr>
        <w:t xml:space="preserve">休人员 </w:t>
      </w:r>
      <w:r>
        <w:rPr>
          <w:rFonts w:hint="eastAsia" w:ascii="仿宋_GB2312" w:hAnsi="仿宋_GB2312" w:eastAsia="仿宋_GB2312" w:cs="Times New Roman"/>
          <w:sz w:val="32"/>
          <w:szCs w:val="32"/>
          <w:lang w:val="en-US" w:eastAsia="zh-CN"/>
        </w:rPr>
        <w:t>0</w:t>
      </w:r>
      <w:r>
        <w:rPr>
          <w:rFonts w:hint="eastAsia" w:ascii="仿宋_GB2312" w:hAnsi="仿宋_GB2312" w:eastAsia="仿宋_GB2312" w:cs="Times New Roman"/>
          <w:sz w:val="32"/>
          <w:szCs w:val="32"/>
        </w:rPr>
        <w:t>人（不含由养老保险基金发放养老金的离退休人员）</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rPr>
        <w:t xml:space="preserve">年末其他人员 </w:t>
      </w:r>
      <w:r>
        <w:rPr>
          <w:rFonts w:hint="eastAsia" w:ascii="仿宋_GB2312" w:hAnsi="仿宋_GB2312" w:eastAsia="仿宋_GB2312" w:cs="Times New Roman"/>
          <w:sz w:val="32"/>
          <w:szCs w:val="32"/>
          <w:lang w:val="en-US" w:eastAsia="zh-CN"/>
        </w:rPr>
        <w:t>0</w:t>
      </w:r>
      <w:r>
        <w:rPr>
          <w:rFonts w:hint="eastAsia" w:ascii="仿宋_GB2312" w:hAnsi="仿宋_GB2312" w:eastAsia="仿宋_GB2312" w:cs="Times New Roman"/>
          <w:sz w:val="32"/>
          <w:szCs w:val="32"/>
        </w:rPr>
        <w:t>人</w:t>
      </w:r>
      <w:r>
        <w:rPr>
          <w:rFonts w:hint="eastAsia" w:ascii="仿宋_GB2312" w:hAnsi="仿宋_GB2312" w:eastAsia="仿宋_GB2312" w:cs="Times New Roman"/>
          <w:sz w:val="32"/>
          <w:szCs w:val="32"/>
          <w:lang w:eastAsia="zh-CN"/>
        </w:rPr>
        <w:t>；</w:t>
      </w:r>
      <w:r>
        <w:rPr>
          <w:rFonts w:hint="eastAsia" w:ascii="仿宋_GB2312" w:hAnsi="仿宋_GB2312" w:eastAsia="仿宋_GB2312" w:cs="Times New Roman"/>
          <w:sz w:val="32"/>
          <w:szCs w:val="32"/>
          <w:lang w:val="en-US" w:eastAsia="zh-CN"/>
        </w:rPr>
        <w:t>年末学生人数0人；</w:t>
      </w:r>
      <w:r>
        <w:rPr>
          <w:rFonts w:hint="eastAsia" w:ascii="仿宋_GB2312" w:hAnsi="仿宋_GB2312" w:eastAsia="仿宋_GB2312" w:cs="Times New Roman"/>
          <w:sz w:val="32"/>
          <w:szCs w:val="32"/>
        </w:rPr>
        <w:t>由养老保险基金发放养老金的退休人员</w:t>
      </w:r>
      <w:r>
        <w:rPr>
          <w:rFonts w:hint="eastAsia" w:ascii="仿宋_GB2312" w:hAnsi="仿宋_GB2312" w:eastAsia="仿宋_GB2312" w:cs="Times New Roman"/>
          <w:sz w:val="32"/>
          <w:szCs w:val="32"/>
          <w:lang w:val="en-US" w:eastAsia="zh-CN"/>
        </w:rPr>
        <w:t>160</w:t>
      </w:r>
      <w:r>
        <w:rPr>
          <w:rFonts w:hint="eastAsia" w:ascii="仿宋_GB2312" w:hAnsi="仿宋_GB2312" w:eastAsia="仿宋_GB2312" w:cs="Times New Roman"/>
          <w:sz w:val="32"/>
          <w:szCs w:val="32"/>
        </w:rPr>
        <w:t xml:space="preserve"> 人。</w:t>
      </w:r>
    </w:p>
    <w:p>
      <w:pPr>
        <w:spacing w:line="600" w:lineRule="exact"/>
        <w:ind w:firstLine="630"/>
        <w:rPr>
          <w:rFonts w:hint="eastAsia" w:ascii="仿宋_GB2312" w:hAnsi="仿宋_GB2312" w:eastAsia="仿宋_GB2312"/>
          <w:sz w:val="30"/>
          <w:szCs w:val="30"/>
        </w:rPr>
      </w:pPr>
    </w:p>
    <w:p>
      <w:pPr>
        <w:spacing w:line="600" w:lineRule="exact"/>
        <w:ind w:firstLine="630"/>
        <w:rPr>
          <w:rFonts w:hint="eastAsia" w:ascii="仿宋_GB2312" w:hAnsi="仿宋_GB2312" w:eastAsia="仿宋_GB2312"/>
          <w:sz w:val="30"/>
          <w:szCs w:val="30"/>
        </w:rPr>
      </w:pPr>
    </w:p>
    <w:p>
      <w:pPr>
        <w:spacing w:line="600" w:lineRule="exact"/>
        <w:ind w:firstLine="630"/>
        <w:rPr>
          <w:rFonts w:hint="eastAsia" w:ascii="仿宋_GB2312" w:hAnsi="仿宋_GB2312" w:eastAsia="仿宋_GB2312"/>
          <w:sz w:val="30"/>
          <w:szCs w:val="30"/>
        </w:rPr>
      </w:pPr>
    </w:p>
    <w:p>
      <w:pPr>
        <w:spacing w:line="600" w:lineRule="exact"/>
        <w:ind w:firstLine="630"/>
        <w:rPr>
          <w:rFonts w:hint="eastAsia" w:ascii="仿宋_GB2312" w:hAnsi="仿宋_GB2312" w:eastAsia="仿宋_GB2312"/>
          <w:sz w:val="30"/>
          <w:szCs w:val="30"/>
        </w:rPr>
      </w:pPr>
    </w:p>
    <w:p>
      <w:pPr>
        <w:widowControl/>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第二部分  2022年度</w:t>
      </w:r>
      <w:r>
        <w:rPr>
          <w:rFonts w:hint="eastAsia" w:ascii="方正小标宋简体" w:hAnsi="方正小标宋简体" w:eastAsia="方正小标宋简体" w:cs="方正小标宋简体"/>
          <w:bCs/>
          <w:sz w:val="44"/>
          <w:szCs w:val="44"/>
          <w:lang w:eastAsia="zh-CN"/>
        </w:rPr>
        <w:t>部门</w:t>
      </w:r>
      <w:r>
        <w:rPr>
          <w:rFonts w:hint="eastAsia" w:ascii="方正小标宋简体" w:hAnsi="方正小标宋简体" w:eastAsia="方正小标宋简体" w:cs="方正小标宋简体"/>
          <w:bCs/>
          <w:sz w:val="44"/>
          <w:szCs w:val="44"/>
        </w:rPr>
        <w:t>决算表</w:t>
      </w:r>
    </w:p>
    <w:p>
      <w:pPr>
        <w:autoSpaceDE w:val="0"/>
        <w:autoSpaceDN w:val="0"/>
        <w:adjustRightInd w:val="0"/>
        <w:spacing w:line="360" w:lineRule="auto"/>
        <w:jc w:val="left"/>
        <w:rPr>
          <w:rFonts w:hint="eastAsia"/>
          <w:szCs w:val="30"/>
        </w:rPr>
      </w:pPr>
    </w:p>
    <w:p>
      <w:pPr>
        <w:autoSpaceDE w:val="0"/>
        <w:autoSpaceDN w:val="0"/>
        <w:adjustRightInd w:val="0"/>
        <w:spacing w:line="360" w:lineRule="auto"/>
        <w:jc w:val="center"/>
        <w:rPr>
          <w:rFonts w:hint="eastAsia" w:eastAsia="宋体"/>
          <w:lang w:eastAsia="zh-CN"/>
        </w:rPr>
      </w:pPr>
      <w:r>
        <w:rPr>
          <w:rFonts w:hint="eastAsia" w:eastAsia="宋体"/>
          <w:lang w:eastAsia="zh-CN"/>
        </w:rPr>
        <w:drawing>
          <wp:inline distT="0" distB="0" distL="114300" distR="114300">
            <wp:extent cx="5544820" cy="5465445"/>
            <wp:effectExtent l="0" t="0" r="17780" b="1905"/>
            <wp:docPr id="6" name="图片 11" descr="b5eb9269cd0f1e52f407a3a33952f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b5eb9269cd0f1e52f407a3a33952f89"/>
                    <pic:cNvPicPr>
                      <a:picLocks noChangeAspect="1"/>
                    </pic:cNvPicPr>
                  </pic:nvPicPr>
                  <pic:blipFill>
                    <a:blip r:embed="rId5"/>
                    <a:stretch>
                      <a:fillRect/>
                    </a:stretch>
                  </pic:blipFill>
                  <pic:spPr>
                    <a:xfrm>
                      <a:off x="0" y="0"/>
                      <a:ext cx="5544820" cy="5465445"/>
                    </a:xfrm>
                    <a:prstGeom prst="rect">
                      <a:avLst/>
                    </a:prstGeom>
                    <a:noFill/>
                    <a:ln>
                      <a:noFill/>
                    </a:ln>
                  </pic:spPr>
                </pic:pic>
              </a:graphicData>
            </a:graphic>
          </wp:inline>
        </w:drawing>
      </w:r>
    </w:p>
    <w:p>
      <w:pPr>
        <w:autoSpaceDE w:val="0"/>
        <w:autoSpaceDN w:val="0"/>
        <w:adjustRightInd w:val="0"/>
        <w:spacing w:line="360" w:lineRule="auto"/>
        <w:jc w:val="center"/>
      </w:pPr>
    </w:p>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rP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rPr>
          <w:rFonts w:hint="eastAsia" w:eastAsia="宋体"/>
          <w:lang w:eastAsia="zh-CN"/>
        </w:rPr>
      </w:pPr>
      <w:r>
        <w:rPr>
          <w:rFonts w:hint="eastAsia" w:eastAsia="宋体"/>
          <w:lang w:eastAsia="zh-CN"/>
        </w:rPr>
        <w:drawing>
          <wp:inline distT="0" distB="0" distL="114300" distR="114300">
            <wp:extent cx="5535930" cy="3013710"/>
            <wp:effectExtent l="0" t="0" r="7620" b="15240"/>
            <wp:docPr id="7" name="图片 12" descr="c188db730b60040da9b295bc04a7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c188db730b60040da9b295bc04a7a41"/>
                    <pic:cNvPicPr>
                      <a:picLocks noChangeAspect="1"/>
                    </pic:cNvPicPr>
                  </pic:nvPicPr>
                  <pic:blipFill>
                    <a:blip r:embed="rId6"/>
                    <a:stretch>
                      <a:fillRect/>
                    </a:stretch>
                  </pic:blipFill>
                  <pic:spPr>
                    <a:xfrm>
                      <a:off x="0" y="0"/>
                      <a:ext cx="5535930" cy="301371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center"/>
        <w:rPr>
          <w:rFonts w:hint="eastAsia" w:eastAsia="宋体"/>
          <w:lang w:eastAsia="zh-CN"/>
        </w:rPr>
      </w:pPr>
      <w:r>
        <w:rPr>
          <w:rFonts w:hint="eastAsia" w:eastAsia="宋体"/>
          <w:lang w:eastAsia="zh-CN"/>
        </w:rPr>
        <w:drawing>
          <wp:inline distT="0" distB="0" distL="114300" distR="114300">
            <wp:extent cx="5538470" cy="3753485"/>
            <wp:effectExtent l="0" t="0" r="5080" b="18415"/>
            <wp:docPr id="8" name="图片 13" descr="f4868c92be50ba41fc6976f80179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f4868c92be50ba41fc6976f80179e57"/>
                    <pic:cNvPicPr>
                      <a:picLocks noChangeAspect="1"/>
                    </pic:cNvPicPr>
                  </pic:nvPicPr>
                  <pic:blipFill>
                    <a:blip r:embed="rId7"/>
                    <a:stretch>
                      <a:fillRect/>
                    </a:stretch>
                  </pic:blipFill>
                  <pic:spPr>
                    <a:xfrm>
                      <a:off x="0" y="0"/>
                      <a:ext cx="5538470" cy="375348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center"/>
        <w:rPr>
          <w:rFonts w:hint="eastAsia" w:eastAsia="宋体"/>
          <w:lang w:eastAsia="zh-CN"/>
        </w:rPr>
      </w:pPr>
      <w:r>
        <w:rPr>
          <w:rFonts w:hint="eastAsia" w:eastAsia="宋体"/>
          <w:lang w:eastAsia="zh-CN"/>
        </w:rPr>
        <w:drawing>
          <wp:inline distT="0" distB="0" distL="114300" distR="114300">
            <wp:extent cx="5709920" cy="4119245"/>
            <wp:effectExtent l="0" t="0" r="5080" b="14605"/>
            <wp:docPr id="9" name="图片 14" descr="d9d67d920059fad0003185c64b4d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d9d67d920059fad0003185c64b4ddca"/>
                    <pic:cNvPicPr>
                      <a:picLocks noChangeAspect="1"/>
                    </pic:cNvPicPr>
                  </pic:nvPicPr>
                  <pic:blipFill>
                    <a:blip r:embed="rId8"/>
                    <a:stretch>
                      <a:fillRect/>
                    </a:stretch>
                  </pic:blipFill>
                  <pic:spPr>
                    <a:xfrm>
                      <a:off x="0" y="0"/>
                      <a:ext cx="5709920" cy="41192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center"/>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center"/>
        <w:rPr>
          <w:rFonts w:hint="eastAsia" w:eastAsia="宋体"/>
          <w:lang w:eastAsia="zh-CN"/>
        </w:rPr>
      </w:pPr>
      <w:r>
        <w:rPr>
          <w:rFonts w:hint="eastAsia" w:eastAsia="宋体"/>
          <w:lang w:eastAsia="zh-CN"/>
        </w:rPr>
        <w:drawing>
          <wp:inline distT="0" distB="0" distL="114300" distR="114300">
            <wp:extent cx="5400675" cy="4886325"/>
            <wp:effectExtent l="0" t="0" r="9525" b="9525"/>
            <wp:docPr id="10" name="图片 15" descr="fcc798af0d1c7d052646075c01ee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descr="fcc798af0d1c7d052646075c01ee877"/>
                    <pic:cNvPicPr>
                      <a:picLocks noChangeAspect="1"/>
                    </pic:cNvPicPr>
                  </pic:nvPicPr>
                  <pic:blipFill>
                    <a:blip r:embed="rId9"/>
                    <a:stretch>
                      <a:fillRect/>
                    </a:stretch>
                  </pic:blipFill>
                  <pic:spPr>
                    <a:xfrm>
                      <a:off x="0" y="0"/>
                      <a:ext cx="5400675" cy="4886325"/>
                    </a:xfrm>
                    <a:prstGeom prst="rect">
                      <a:avLst/>
                    </a:prstGeom>
                    <a:noFill/>
                    <a:ln>
                      <a:noFill/>
                    </a:ln>
                  </pic:spPr>
                </pic:pic>
              </a:graphicData>
            </a:graphic>
          </wp:inline>
        </w:drawing>
      </w:r>
    </w:p>
    <w:p>
      <w:pPr>
        <w:autoSpaceDE w:val="0"/>
        <w:autoSpaceDN w:val="0"/>
        <w:adjustRightInd w:val="0"/>
        <w:spacing w:line="360" w:lineRule="auto"/>
        <w:jc w:val="center"/>
        <w:rPr>
          <w:rFonts w:hint="eastAsia" w:eastAsia="宋体"/>
          <w:lang w:eastAsia="zh-CN"/>
        </w:rPr>
      </w:pPr>
    </w:p>
    <w:p>
      <w:pPr>
        <w:autoSpaceDE w:val="0"/>
        <w:autoSpaceDN w:val="0"/>
        <w:adjustRightInd w:val="0"/>
        <w:spacing w:line="360" w:lineRule="auto"/>
        <w:jc w:val="center"/>
      </w:pPr>
    </w:p>
    <w:p>
      <w:pPr>
        <w:autoSpaceDE w:val="0"/>
        <w:autoSpaceDN w:val="0"/>
        <w:adjustRightInd w:val="0"/>
        <w:spacing w:line="360" w:lineRule="auto"/>
        <w:jc w:val="center"/>
        <w:rPr>
          <w:rFonts w:hint="eastAsia" w:eastAsia="宋体"/>
          <w:lang w:eastAsia="zh-CN"/>
        </w:rPr>
      </w:pPr>
    </w:p>
    <w:p>
      <w:pPr>
        <w:autoSpaceDE w:val="0"/>
        <w:autoSpaceDN w:val="0"/>
        <w:adjustRightInd w:val="0"/>
        <w:spacing w:line="360" w:lineRule="auto"/>
        <w:jc w:val="center"/>
        <w:rPr>
          <w:rFonts w:hint="eastAsia" w:eastAsia="宋体"/>
          <w:lang w:eastAsia="zh-CN"/>
        </w:rP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pPr>
    </w:p>
    <w:p>
      <w:pPr>
        <w:autoSpaceDE w:val="0"/>
        <w:autoSpaceDN w:val="0"/>
        <w:adjustRightInd w:val="0"/>
        <w:spacing w:line="360" w:lineRule="auto"/>
        <w:jc w:val="center"/>
        <w:rPr>
          <w:rFonts w:hint="eastAsia" w:eastAsia="宋体"/>
          <w:lang w:eastAsia="zh-CN"/>
        </w:rPr>
      </w:pPr>
      <w:r>
        <w:rPr>
          <w:rFonts w:hint="eastAsia" w:eastAsia="宋体"/>
          <w:lang w:eastAsia="zh-CN"/>
        </w:rPr>
        <w:drawing>
          <wp:anchor distT="0" distB="0" distL="114300" distR="114300" simplePos="0" relativeHeight="251664384" behindDoc="0" locked="0" layoutInCell="1" allowOverlap="1">
            <wp:simplePos x="0" y="0"/>
            <wp:positionH relativeFrom="column">
              <wp:posOffset>11430</wp:posOffset>
            </wp:positionH>
            <wp:positionV relativeFrom="paragraph">
              <wp:posOffset>5100320</wp:posOffset>
            </wp:positionV>
            <wp:extent cx="5543550" cy="2693035"/>
            <wp:effectExtent l="0" t="0" r="0" b="12065"/>
            <wp:wrapNone/>
            <wp:docPr id="18" name="图片 18" descr="ff5a228468c1fd6000e582873ff7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ff5a228468c1fd6000e582873ff7477"/>
                    <pic:cNvPicPr>
                      <a:picLocks noChangeAspect="1"/>
                    </pic:cNvPicPr>
                  </pic:nvPicPr>
                  <pic:blipFill>
                    <a:blip r:embed="rId10"/>
                    <a:stretch>
                      <a:fillRect/>
                    </a:stretch>
                  </pic:blipFill>
                  <pic:spPr>
                    <a:xfrm>
                      <a:off x="0" y="0"/>
                      <a:ext cx="5543550" cy="2693035"/>
                    </a:xfrm>
                    <a:prstGeom prst="rect">
                      <a:avLst/>
                    </a:prstGeom>
                  </pic:spPr>
                </pic:pic>
              </a:graphicData>
            </a:graphic>
          </wp:anchor>
        </w:drawing>
      </w:r>
      <w:r>
        <w:rPr>
          <w:rFonts w:hint="eastAsia" w:eastAsia="宋体"/>
          <w:lang w:eastAsia="zh-CN"/>
        </w:rPr>
        <w:drawing>
          <wp:inline distT="0" distB="0" distL="114300" distR="114300">
            <wp:extent cx="5544185" cy="5135245"/>
            <wp:effectExtent l="0" t="0" r="18415" b="8255"/>
            <wp:docPr id="17" name="图片 17" descr="77626b1bb70727ba235477979f1a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7626b1bb70727ba235477979f1a258"/>
                    <pic:cNvPicPr>
                      <a:picLocks noChangeAspect="1"/>
                    </pic:cNvPicPr>
                  </pic:nvPicPr>
                  <pic:blipFill>
                    <a:blip r:embed="rId11"/>
                    <a:stretch>
                      <a:fillRect/>
                    </a:stretch>
                  </pic:blipFill>
                  <pic:spPr>
                    <a:xfrm>
                      <a:off x="0" y="0"/>
                      <a:ext cx="5544185" cy="5135245"/>
                    </a:xfrm>
                    <a:prstGeom prst="rect">
                      <a:avLst/>
                    </a:prstGeom>
                  </pic:spPr>
                </pic:pic>
              </a:graphicData>
            </a:graphic>
          </wp:inline>
        </w:drawing>
      </w:r>
    </w:p>
    <w:p>
      <w:pPr>
        <w:autoSpaceDE w:val="0"/>
        <w:autoSpaceDN w:val="0"/>
        <w:adjustRightInd w:val="0"/>
        <w:spacing w:line="360" w:lineRule="auto"/>
        <w:jc w:val="center"/>
        <w:rPr>
          <w:rFonts w:hint="eastAsia" w:eastAsia="宋体"/>
          <w:lang w:eastAsia="zh-CN"/>
        </w:rPr>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542280" cy="2005330"/>
            <wp:effectExtent l="0" t="0" r="1270" b="13970"/>
            <wp:docPr id="12" name="图片 17" descr="2b9d6fb327548320fbb23bdb0497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7" descr="2b9d6fb327548320fbb23bdb04979b9"/>
                    <pic:cNvPicPr>
                      <a:picLocks noChangeAspect="1"/>
                    </pic:cNvPicPr>
                  </pic:nvPicPr>
                  <pic:blipFill>
                    <a:blip r:embed="rId12"/>
                    <a:stretch>
                      <a:fillRect/>
                    </a:stretch>
                  </pic:blipFill>
                  <pic:spPr>
                    <a:xfrm>
                      <a:off x="0" y="0"/>
                      <a:ext cx="5542280" cy="2005330"/>
                    </a:xfrm>
                    <a:prstGeom prst="rect">
                      <a:avLst/>
                    </a:prstGeom>
                    <a:noFill/>
                    <a:ln>
                      <a:noFill/>
                    </a:ln>
                  </pic:spPr>
                </pic:pic>
              </a:graphicData>
            </a:graphic>
          </wp:inline>
        </w:drawing>
      </w: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542280" cy="2005330"/>
            <wp:effectExtent l="0" t="0" r="1270" b="13970"/>
            <wp:docPr id="11" name="图片 1" descr="2b9d6fb327548320fbb23bdb0497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2b9d6fb327548320fbb23bdb04979b9"/>
                    <pic:cNvPicPr>
                      <a:picLocks noChangeAspect="1"/>
                    </pic:cNvPicPr>
                  </pic:nvPicPr>
                  <pic:blipFill>
                    <a:blip r:embed="rId12"/>
                    <a:stretch>
                      <a:fillRect/>
                    </a:stretch>
                  </pic:blipFill>
                  <pic:spPr>
                    <a:xfrm>
                      <a:off x="0" y="0"/>
                      <a:ext cx="5542280" cy="200533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649595" cy="3067050"/>
            <wp:effectExtent l="0" t="0" r="8255" b="0"/>
            <wp:docPr id="13" name="图片 18" descr="f2f903aec2f61ee8387a75d2a153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f2f903aec2f61ee8387a75d2a153cdc"/>
                    <pic:cNvPicPr>
                      <a:picLocks noChangeAspect="1"/>
                    </pic:cNvPicPr>
                  </pic:nvPicPr>
                  <pic:blipFill>
                    <a:blip r:embed="rId13"/>
                    <a:stretch>
                      <a:fillRect/>
                    </a:stretch>
                  </pic:blipFill>
                  <pic:spPr>
                    <a:xfrm>
                      <a:off x="0" y="0"/>
                      <a:ext cx="5649595" cy="3067050"/>
                    </a:xfrm>
                    <a:prstGeom prst="rect">
                      <a:avLst/>
                    </a:prstGeom>
                    <a:noFill/>
                    <a:ln>
                      <a:noFill/>
                    </a:ln>
                  </pic:spPr>
                </pic:pic>
              </a:graphicData>
            </a:graphic>
          </wp:inline>
        </w:drawing>
      </w:r>
    </w:p>
    <w:p>
      <w:pPr>
        <w:widowControl/>
        <w:spacing w:line="600" w:lineRule="exact"/>
        <w:jc w:val="center"/>
        <w:rPr>
          <w:rFonts w:hint="eastAsia" w:ascii="方正小标宋简体" w:hAnsi="方正小标宋简体" w:eastAsia="方正小标宋简体" w:cs="方正小标宋简体"/>
          <w:bCs/>
          <w:sz w:val="44"/>
          <w:szCs w:val="44"/>
        </w:rPr>
      </w:pPr>
    </w:p>
    <w:p>
      <w:pPr>
        <w:widowControl/>
        <w:spacing w:line="600" w:lineRule="exact"/>
        <w:jc w:val="center"/>
        <w:rPr>
          <w:rFonts w:hint="eastAsia" w:ascii="方正小标宋简体" w:hAnsi="方正小标宋简体" w:eastAsia="方正小标宋简体" w:cs="方正小标宋简体"/>
          <w:bCs/>
          <w:sz w:val="44"/>
          <w:szCs w:val="44"/>
        </w:rPr>
      </w:pPr>
    </w:p>
    <w:p>
      <w:pPr>
        <w:autoSpaceDE w:val="0"/>
        <w:autoSpaceDN w:val="0"/>
        <w:adjustRightInd w:val="0"/>
        <w:spacing w:line="360" w:lineRule="auto"/>
        <w:jc w:val="left"/>
      </w:pPr>
    </w:p>
    <w:p>
      <w:pPr>
        <w:autoSpaceDE w:val="0"/>
        <w:autoSpaceDN w:val="0"/>
        <w:adjustRightInd w:val="0"/>
        <w:spacing w:line="360" w:lineRule="auto"/>
        <w:jc w:val="center"/>
      </w:pPr>
    </w:p>
    <w:p>
      <w:pPr>
        <w:autoSpaceDE w:val="0"/>
        <w:autoSpaceDN w:val="0"/>
        <w:adjustRightInd w:val="0"/>
        <w:spacing w:line="360" w:lineRule="auto"/>
        <w:jc w:val="left"/>
      </w:pPr>
    </w:p>
    <w:p>
      <w:pPr>
        <w:autoSpaceDE w:val="0"/>
        <w:autoSpaceDN w:val="0"/>
        <w:adjustRightInd w:val="0"/>
        <w:spacing w:line="360" w:lineRule="auto"/>
        <w:jc w:val="left"/>
        <w:rPr>
          <w:rFonts w:hint="eastAsia" w:eastAsia="宋体"/>
          <w:lang w:eastAsia="zh-CN"/>
        </w:rPr>
      </w:pPr>
      <w:r>
        <w:rPr>
          <w:rFonts w:hint="eastAsia" w:eastAsia="宋体"/>
          <w:lang w:eastAsia="zh-CN"/>
        </w:rPr>
        <w:drawing>
          <wp:inline distT="0" distB="0" distL="114300" distR="114300">
            <wp:extent cx="5095875" cy="4543425"/>
            <wp:effectExtent l="0" t="0" r="9525" b="9525"/>
            <wp:docPr id="14" name="图片 19" descr="50d7b57912f77d0e46a140b2010c1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50d7b57912f77d0e46a140b2010c1fe"/>
                    <pic:cNvPicPr>
                      <a:picLocks noChangeAspect="1"/>
                    </pic:cNvPicPr>
                  </pic:nvPicPr>
                  <pic:blipFill>
                    <a:blip r:embed="rId14"/>
                    <a:stretch>
                      <a:fillRect/>
                    </a:stretch>
                  </pic:blipFill>
                  <pic:spPr>
                    <a:xfrm>
                      <a:off x="0" y="0"/>
                      <a:ext cx="5095875" cy="4543425"/>
                    </a:xfrm>
                    <a:prstGeom prst="rect">
                      <a:avLst/>
                    </a:prstGeom>
                    <a:noFill/>
                    <a:ln>
                      <a:noFill/>
                    </a:ln>
                  </pic:spPr>
                </pic:pic>
              </a:graphicData>
            </a:graphic>
          </wp:inline>
        </w:drawing>
      </w:r>
    </w:p>
    <w:p>
      <w:pPr>
        <w:autoSpaceDE w:val="0"/>
        <w:autoSpaceDN w:val="0"/>
        <w:adjustRightInd w:val="0"/>
        <w:spacing w:line="360" w:lineRule="auto"/>
        <w:jc w:val="left"/>
      </w:pPr>
    </w:p>
    <w:p>
      <w:pPr>
        <w:widowControl/>
        <w:spacing w:line="600" w:lineRule="exact"/>
        <w:jc w:val="center"/>
        <w:rPr>
          <w:rFonts w:hint="eastAsia" w:ascii="方正小标宋简体" w:hAnsi="方正小标宋简体" w:eastAsia="方正小标宋简体" w:cs="方正小标宋简体"/>
          <w:bCs/>
          <w:sz w:val="44"/>
          <w:szCs w:val="44"/>
        </w:rPr>
      </w:pPr>
      <w:r>
        <w:rPr>
          <w:rFonts w:hint="eastAsia" w:ascii="宋体" w:hAnsi="宋体" w:cs="宋体"/>
          <w:b/>
          <w:sz w:val="32"/>
          <w:szCs w:val="32"/>
        </w:rPr>
        <w:drawing>
          <wp:anchor distT="0" distB="0" distL="114300" distR="114300" simplePos="0" relativeHeight="251659264" behindDoc="0" locked="0" layoutInCell="1" allowOverlap="1">
            <wp:simplePos x="0" y="0"/>
            <wp:positionH relativeFrom="column">
              <wp:posOffset>-28575</wp:posOffset>
            </wp:positionH>
            <wp:positionV relativeFrom="paragraph">
              <wp:posOffset>95250</wp:posOffset>
            </wp:positionV>
            <wp:extent cx="5210175" cy="3146425"/>
            <wp:effectExtent l="0" t="0" r="9525" b="15875"/>
            <wp:wrapSquare wrapText="bothSides"/>
            <wp:docPr id="1" name="图片 2" descr="718088fd1a3bbe0445d1c406bff27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18088fd1a3bbe0445d1c406bff275e"/>
                    <pic:cNvPicPr>
                      <a:picLocks noChangeAspect="1"/>
                    </pic:cNvPicPr>
                  </pic:nvPicPr>
                  <pic:blipFill>
                    <a:blip r:embed="rId15"/>
                    <a:stretch>
                      <a:fillRect/>
                    </a:stretch>
                  </pic:blipFill>
                  <pic:spPr>
                    <a:xfrm>
                      <a:off x="0" y="0"/>
                      <a:ext cx="5210175" cy="3146425"/>
                    </a:xfrm>
                    <a:prstGeom prst="rect">
                      <a:avLst/>
                    </a:prstGeom>
                    <a:noFill/>
                    <a:ln>
                      <a:noFill/>
                    </a:ln>
                  </pic:spPr>
                </pic:pic>
              </a:graphicData>
            </a:graphic>
          </wp:anchor>
        </w:drawing>
      </w:r>
      <w:r>
        <w:rPr>
          <w:rFonts w:hint="eastAsia" w:ascii="宋体" w:hAnsi="宋体" w:cs="宋体"/>
          <w:b/>
          <w:sz w:val="32"/>
          <w:szCs w:val="32"/>
        </w:rPr>
        <w:br w:type="page"/>
      </w:r>
    </w:p>
    <w:p>
      <w:pPr>
        <w:widowControl/>
        <w:spacing w:line="600"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第三部分  2022年度</w:t>
      </w:r>
      <w:r>
        <w:rPr>
          <w:rFonts w:hint="eastAsia" w:ascii="方正小标宋简体" w:hAnsi="方正小标宋简体" w:eastAsia="方正小标宋简体" w:cs="方正小标宋简体"/>
          <w:b w:val="0"/>
          <w:bCs/>
          <w:color w:val="auto"/>
          <w:sz w:val="44"/>
          <w:szCs w:val="44"/>
          <w:highlight w:val="none"/>
          <w:lang w:val="en-US" w:eastAsia="zh-CN"/>
        </w:rPr>
        <w:t>部门</w:t>
      </w:r>
      <w:r>
        <w:rPr>
          <w:rFonts w:hint="eastAsia" w:ascii="方正小标宋简体" w:hAnsi="方正小标宋简体" w:eastAsia="方正小标宋简体" w:cs="方正小标宋简体"/>
          <w:b w:val="0"/>
          <w:bCs/>
          <w:color w:val="auto"/>
          <w:sz w:val="44"/>
          <w:szCs w:val="44"/>
          <w:highlight w:val="none"/>
        </w:rPr>
        <w:t>决算情况说明</w:t>
      </w:r>
    </w:p>
    <w:p>
      <w:pPr>
        <w:ind w:firstLine="630"/>
        <w:jc w:val="left"/>
        <w:rPr>
          <w:rFonts w:hint="eastAsia" w:ascii="仿宋_GB2312" w:hAnsi="仿宋_GB2312" w:eastAsia="仿宋_GB2312"/>
          <w:b w:val="0"/>
          <w:bCs/>
          <w:color w:val="auto"/>
          <w:sz w:val="32"/>
          <w:szCs w:val="32"/>
          <w:highlight w:val="none"/>
        </w:rPr>
      </w:pPr>
    </w:p>
    <w:p>
      <w:pPr>
        <w:ind w:firstLine="630"/>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一、收入决算情况说明</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2022年度收入总计</w:t>
      </w:r>
      <w:r>
        <w:rPr>
          <w:rFonts w:hint="eastAsia" w:ascii="仿宋_GB2312" w:hAnsi="仿宋_GB2312" w:eastAsia="仿宋_GB2312"/>
          <w:b w:val="0"/>
          <w:bCs/>
          <w:color w:val="auto"/>
          <w:sz w:val="32"/>
          <w:szCs w:val="32"/>
          <w:highlight w:val="none"/>
          <w:lang w:val="en-US" w:eastAsia="zh-CN"/>
        </w:rPr>
        <w:t>3031.62</w:t>
      </w:r>
      <w:r>
        <w:rPr>
          <w:rFonts w:hint="eastAsia" w:ascii="仿宋_GB2312" w:hAnsi="仿宋_GB2312" w:eastAsia="仿宋_GB2312"/>
          <w:b w:val="0"/>
          <w:bCs/>
          <w:color w:val="auto"/>
          <w:sz w:val="32"/>
          <w:szCs w:val="32"/>
          <w:highlight w:val="none"/>
        </w:rPr>
        <w:t>万元，其中年初结转和结余</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万元，较2021年减少</w:t>
      </w:r>
      <w:r>
        <w:rPr>
          <w:rFonts w:hint="eastAsia" w:ascii="仿宋_GB2312" w:hAnsi="仿宋_GB2312" w:eastAsia="仿宋_GB2312"/>
          <w:b w:val="0"/>
          <w:bCs/>
          <w:color w:val="auto"/>
          <w:sz w:val="32"/>
          <w:szCs w:val="32"/>
          <w:highlight w:val="none"/>
          <w:lang w:val="en-US" w:eastAsia="zh-CN"/>
        </w:rPr>
        <w:t>410.17</w:t>
      </w:r>
      <w:r>
        <w:rPr>
          <w:rFonts w:hint="eastAsia" w:ascii="仿宋_GB2312" w:hAnsi="仿宋_GB2312" w:eastAsia="仿宋_GB2312"/>
          <w:b w:val="0"/>
          <w:bCs/>
          <w:color w:val="auto"/>
          <w:sz w:val="32"/>
          <w:szCs w:val="32"/>
          <w:highlight w:val="none"/>
        </w:rPr>
        <w:t>万元</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下降100%</w:t>
      </w:r>
      <w:r>
        <w:rPr>
          <w:rFonts w:hint="eastAsia" w:ascii="仿宋_GB2312" w:hAnsi="仿宋_GB2312" w:eastAsia="仿宋_GB2312"/>
          <w:b w:val="0"/>
          <w:bCs/>
          <w:color w:val="auto"/>
          <w:sz w:val="32"/>
          <w:szCs w:val="32"/>
          <w:highlight w:val="none"/>
        </w:rPr>
        <w:t>；本年收入合计</w:t>
      </w:r>
      <w:r>
        <w:rPr>
          <w:rFonts w:hint="eastAsia" w:ascii="仿宋_GB2312" w:hAnsi="仿宋_GB2312" w:eastAsia="仿宋_GB2312"/>
          <w:b w:val="0"/>
          <w:bCs/>
          <w:color w:val="auto"/>
          <w:sz w:val="32"/>
          <w:szCs w:val="32"/>
          <w:highlight w:val="none"/>
          <w:lang w:val="en-US" w:eastAsia="zh-CN"/>
        </w:rPr>
        <w:t>3031.62</w:t>
      </w:r>
      <w:r>
        <w:rPr>
          <w:rFonts w:hint="eastAsia" w:ascii="仿宋_GB2312" w:hAnsi="仿宋_GB2312" w:eastAsia="仿宋_GB2312"/>
          <w:b w:val="0"/>
          <w:bCs/>
          <w:color w:val="auto"/>
          <w:sz w:val="32"/>
          <w:szCs w:val="32"/>
          <w:highlight w:val="none"/>
        </w:rPr>
        <w:t>万元，较2021年减少</w:t>
      </w:r>
      <w:r>
        <w:rPr>
          <w:rFonts w:hint="eastAsia" w:ascii="仿宋_GB2312" w:hAnsi="仿宋_GB2312" w:eastAsia="仿宋_GB2312"/>
          <w:b w:val="0"/>
          <w:bCs/>
          <w:color w:val="auto"/>
          <w:sz w:val="32"/>
          <w:szCs w:val="32"/>
          <w:highlight w:val="none"/>
          <w:lang w:val="en-US" w:eastAsia="zh-CN"/>
        </w:rPr>
        <w:t>248.07</w:t>
      </w:r>
      <w:r>
        <w:rPr>
          <w:rFonts w:hint="eastAsia" w:ascii="仿宋_GB2312" w:hAnsi="仿宋_GB2312" w:eastAsia="仿宋_GB2312"/>
          <w:b w:val="0"/>
          <w:bCs/>
          <w:color w:val="auto"/>
          <w:sz w:val="32"/>
          <w:szCs w:val="32"/>
          <w:highlight w:val="none"/>
        </w:rPr>
        <w:t>万元，下降</w:t>
      </w:r>
      <w:r>
        <w:rPr>
          <w:rFonts w:hint="eastAsia" w:ascii="仿宋_GB2312" w:hAnsi="仿宋_GB2312" w:eastAsia="仿宋_GB2312"/>
          <w:b w:val="0"/>
          <w:bCs/>
          <w:color w:val="auto"/>
          <w:sz w:val="32"/>
          <w:szCs w:val="32"/>
          <w:highlight w:val="none"/>
          <w:lang w:val="en-US" w:eastAsia="zh-CN"/>
        </w:rPr>
        <w:t>7.6</w:t>
      </w:r>
      <w:r>
        <w:rPr>
          <w:rFonts w:hint="eastAsia" w:ascii="仿宋_GB2312" w:hAnsi="仿宋_GB2312" w:eastAsia="仿宋_GB2312"/>
          <w:b w:val="0"/>
          <w:bCs/>
          <w:color w:val="auto"/>
          <w:sz w:val="32"/>
          <w:szCs w:val="32"/>
          <w:highlight w:val="none"/>
        </w:rPr>
        <w:t xml:space="preserve"> %，主要原因是：</w:t>
      </w:r>
      <w:r>
        <w:rPr>
          <w:rFonts w:hint="eastAsia" w:ascii="仿宋_GB2312" w:hAnsi="仿宋_GB2312" w:eastAsia="仿宋_GB2312"/>
          <w:b w:val="0"/>
          <w:bCs/>
          <w:color w:val="auto"/>
          <w:sz w:val="32"/>
          <w:szCs w:val="32"/>
          <w:highlight w:val="none"/>
          <w:lang w:val="en-US" w:eastAsia="zh-CN"/>
        </w:rPr>
        <w:t>一是2021年末</w:t>
      </w:r>
      <w:r>
        <w:rPr>
          <w:rFonts w:hint="eastAsia" w:ascii="仿宋_GB2312" w:hAnsi="仿宋_GB2312" w:eastAsia="仿宋_GB2312"/>
          <w:b w:val="0"/>
          <w:bCs/>
          <w:color w:val="auto"/>
          <w:sz w:val="32"/>
          <w:szCs w:val="32"/>
          <w:highlight w:val="none"/>
          <w:lang w:eastAsia="zh-CN"/>
        </w:rPr>
        <w:t>财政已将全部指标收回，</w:t>
      </w:r>
      <w:r>
        <w:rPr>
          <w:rFonts w:hint="eastAsia" w:ascii="仿宋_GB2312" w:hAnsi="仿宋_GB2312" w:eastAsia="仿宋_GB2312"/>
          <w:b w:val="0"/>
          <w:bCs/>
          <w:color w:val="auto"/>
          <w:sz w:val="32"/>
          <w:szCs w:val="32"/>
          <w:highlight w:val="none"/>
          <w:lang w:val="en-US" w:eastAsia="zh-CN"/>
        </w:rPr>
        <w:t>2021年</w:t>
      </w:r>
      <w:r>
        <w:rPr>
          <w:rFonts w:hint="eastAsia" w:ascii="仿宋_GB2312" w:hAnsi="仿宋_GB2312" w:eastAsia="仿宋_GB2312"/>
          <w:b w:val="0"/>
          <w:bCs/>
          <w:color w:val="auto"/>
          <w:sz w:val="32"/>
          <w:szCs w:val="32"/>
          <w:highlight w:val="none"/>
          <w:lang w:eastAsia="zh-CN"/>
        </w:rPr>
        <w:t>无</w:t>
      </w:r>
      <w:r>
        <w:rPr>
          <w:rFonts w:hint="eastAsia" w:ascii="仿宋_GB2312" w:hAnsi="仿宋_GB2312" w:eastAsia="仿宋_GB2312"/>
          <w:b w:val="0"/>
          <w:bCs/>
          <w:color w:val="auto"/>
          <w:sz w:val="32"/>
          <w:szCs w:val="32"/>
          <w:highlight w:val="none"/>
          <w:lang w:val="en-US" w:eastAsia="zh-CN"/>
        </w:rPr>
        <w:t>结转结余至2022年，二是本年人员减少，落实过紧日子要求，合理压缩机关运行经费</w:t>
      </w:r>
      <w:r>
        <w:rPr>
          <w:rFonts w:hint="eastAsia" w:ascii="仿宋_GB2312" w:hAnsi="仿宋_GB2312" w:eastAsia="仿宋_GB2312"/>
          <w:b w:val="0"/>
          <w:bCs/>
          <w:color w:val="auto"/>
          <w:sz w:val="32"/>
          <w:szCs w:val="32"/>
          <w:highlight w:val="none"/>
        </w:rPr>
        <w:t>。</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本年收入的具体构成为：财政拨款收入</w:t>
      </w:r>
      <w:r>
        <w:rPr>
          <w:rFonts w:hint="eastAsia" w:ascii="仿宋_GB2312" w:hAnsi="仿宋_GB2312" w:eastAsia="仿宋_GB2312"/>
          <w:b w:val="0"/>
          <w:bCs/>
          <w:color w:val="auto"/>
          <w:sz w:val="32"/>
          <w:szCs w:val="32"/>
          <w:highlight w:val="none"/>
          <w:lang w:val="en-US" w:eastAsia="zh-CN"/>
        </w:rPr>
        <w:t>2918.21</w:t>
      </w:r>
      <w:r>
        <w:rPr>
          <w:rFonts w:hint="eastAsia" w:ascii="仿宋_GB2312" w:hAnsi="仿宋_GB2312" w:eastAsia="仿宋_GB2312"/>
          <w:b w:val="0"/>
          <w:bCs/>
          <w:color w:val="auto"/>
          <w:sz w:val="32"/>
          <w:szCs w:val="32"/>
          <w:highlight w:val="none"/>
        </w:rPr>
        <w:t>万元，占</w:t>
      </w:r>
      <w:r>
        <w:rPr>
          <w:rFonts w:hint="eastAsia" w:ascii="仿宋_GB2312" w:hAnsi="仿宋_GB2312" w:eastAsia="仿宋_GB2312"/>
          <w:b w:val="0"/>
          <w:bCs/>
          <w:color w:val="auto"/>
          <w:sz w:val="32"/>
          <w:szCs w:val="32"/>
          <w:highlight w:val="none"/>
          <w:lang w:val="en-US" w:eastAsia="zh-CN"/>
        </w:rPr>
        <w:t>96.3</w:t>
      </w:r>
      <w:r>
        <w:rPr>
          <w:rFonts w:hint="eastAsia" w:ascii="仿宋_GB2312" w:hAnsi="仿宋_GB2312" w:eastAsia="仿宋_GB2312"/>
          <w:b w:val="0"/>
          <w:bCs/>
          <w:color w:val="auto"/>
          <w:sz w:val="32"/>
          <w:szCs w:val="32"/>
          <w:highlight w:val="none"/>
        </w:rPr>
        <w:t>%；</w:t>
      </w:r>
      <w:r>
        <w:rPr>
          <w:rFonts w:hint="eastAsia" w:ascii="仿宋_GB2312" w:hAnsi="仿宋_GB2312" w:eastAsia="仿宋_GB2312"/>
          <w:sz w:val="32"/>
          <w:szCs w:val="32"/>
        </w:rPr>
        <w:t>事业收入</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%；经营收入</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w:t>
      </w:r>
      <w:r>
        <w:rPr>
          <w:rFonts w:hint="eastAsia" w:ascii="仿宋_GB2312" w:hAnsi="仿宋_GB2312" w:eastAsia="仿宋_GB2312"/>
          <w:b w:val="0"/>
          <w:bCs/>
          <w:color w:val="auto"/>
          <w:sz w:val="32"/>
          <w:szCs w:val="32"/>
          <w:highlight w:val="none"/>
        </w:rPr>
        <w:t>其他收入</w:t>
      </w:r>
      <w:r>
        <w:rPr>
          <w:rFonts w:hint="eastAsia" w:ascii="仿宋_GB2312" w:hAnsi="仿宋_GB2312" w:eastAsia="仿宋_GB2312"/>
          <w:b w:val="0"/>
          <w:bCs/>
          <w:color w:val="auto"/>
          <w:sz w:val="32"/>
          <w:szCs w:val="32"/>
          <w:highlight w:val="none"/>
          <w:lang w:val="en-US" w:eastAsia="zh-CN"/>
        </w:rPr>
        <w:t>113.41</w:t>
      </w:r>
      <w:r>
        <w:rPr>
          <w:rFonts w:hint="eastAsia" w:ascii="仿宋_GB2312" w:hAnsi="仿宋_GB2312" w:eastAsia="仿宋_GB2312"/>
          <w:b w:val="0"/>
          <w:bCs/>
          <w:color w:val="auto"/>
          <w:sz w:val="32"/>
          <w:szCs w:val="32"/>
          <w:highlight w:val="none"/>
        </w:rPr>
        <w:t>万元，占</w:t>
      </w:r>
      <w:r>
        <w:rPr>
          <w:rFonts w:hint="eastAsia" w:ascii="仿宋_GB2312" w:hAnsi="仿宋_GB2312" w:eastAsia="仿宋_GB2312"/>
          <w:b w:val="0"/>
          <w:bCs/>
          <w:color w:val="auto"/>
          <w:sz w:val="32"/>
          <w:szCs w:val="32"/>
          <w:highlight w:val="none"/>
          <w:lang w:val="en-US" w:eastAsia="zh-CN"/>
        </w:rPr>
        <w:t>3.7</w:t>
      </w:r>
      <w:r>
        <w:rPr>
          <w:rFonts w:hint="eastAsia" w:ascii="仿宋_GB2312" w:hAnsi="仿宋_GB2312" w:eastAsia="仿宋_GB2312"/>
          <w:b w:val="0"/>
          <w:bCs/>
          <w:color w:val="auto"/>
          <w:sz w:val="32"/>
          <w:szCs w:val="32"/>
          <w:highlight w:val="none"/>
        </w:rPr>
        <w:t xml:space="preserve">%。  </w:t>
      </w:r>
    </w:p>
    <w:p>
      <w:pPr>
        <w:ind w:firstLine="630"/>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二、支出决算情况说明</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2022年度支出总计</w:t>
      </w:r>
      <w:r>
        <w:rPr>
          <w:rFonts w:hint="eastAsia" w:ascii="仿宋_GB2312" w:hAnsi="仿宋_GB2312" w:eastAsia="仿宋_GB2312"/>
          <w:b w:val="0"/>
          <w:bCs/>
          <w:color w:val="auto"/>
          <w:sz w:val="32"/>
          <w:szCs w:val="32"/>
          <w:highlight w:val="none"/>
          <w:lang w:val="en-US" w:eastAsia="zh-CN"/>
        </w:rPr>
        <w:t>3031.62</w:t>
      </w:r>
      <w:r>
        <w:rPr>
          <w:rFonts w:hint="eastAsia" w:ascii="仿宋_GB2312" w:hAnsi="仿宋_GB2312" w:eastAsia="仿宋_GB2312"/>
          <w:b w:val="0"/>
          <w:bCs/>
          <w:color w:val="auto"/>
          <w:sz w:val="32"/>
          <w:szCs w:val="32"/>
          <w:highlight w:val="none"/>
        </w:rPr>
        <w:t>万元，其中本年支出合计</w:t>
      </w:r>
      <w:r>
        <w:rPr>
          <w:rFonts w:hint="eastAsia" w:ascii="仿宋_GB2312" w:hAnsi="仿宋_GB2312" w:eastAsia="仿宋_GB2312"/>
          <w:b w:val="0"/>
          <w:bCs/>
          <w:color w:val="auto"/>
          <w:sz w:val="32"/>
          <w:szCs w:val="32"/>
          <w:highlight w:val="none"/>
          <w:lang w:val="en-US" w:eastAsia="zh-CN"/>
        </w:rPr>
        <w:t>3031.62</w:t>
      </w:r>
      <w:r>
        <w:rPr>
          <w:rFonts w:hint="eastAsia" w:ascii="仿宋_GB2312" w:hAnsi="仿宋_GB2312" w:eastAsia="仿宋_GB2312"/>
          <w:b w:val="0"/>
          <w:bCs/>
          <w:color w:val="auto"/>
          <w:sz w:val="32"/>
          <w:szCs w:val="32"/>
          <w:highlight w:val="none"/>
        </w:rPr>
        <w:t>万元，较2021年减少</w:t>
      </w:r>
      <w:r>
        <w:rPr>
          <w:rFonts w:hint="eastAsia" w:ascii="仿宋_GB2312" w:hAnsi="仿宋_GB2312" w:eastAsia="仿宋_GB2312"/>
          <w:b w:val="0"/>
          <w:bCs/>
          <w:color w:val="auto"/>
          <w:sz w:val="32"/>
          <w:szCs w:val="32"/>
          <w:highlight w:val="none"/>
          <w:lang w:val="en-US" w:eastAsia="zh-CN"/>
        </w:rPr>
        <w:t>248.07</w:t>
      </w:r>
      <w:r>
        <w:rPr>
          <w:rFonts w:hint="eastAsia" w:ascii="仿宋_GB2312" w:hAnsi="仿宋_GB2312" w:eastAsia="仿宋_GB2312"/>
          <w:b w:val="0"/>
          <w:bCs/>
          <w:color w:val="auto"/>
          <w:sz w:val="32"/>
          <w:szCs w:val="32"/>
          <w:highlight w:val="none"/>
        </w:rPr>
        <w:t>万元，下降</w:t>
      </w:r>
      <w:r>
        <w:rPr>
          <w:rFonts w:hint="eastAsia" w:ascii="仿宋_GB2312" w:hAnsi="仿宋_GB2312" w:eastAsia="仿宋_GB2312"/>
          <w:b w:val="0"/>
          <w:bCs/>
          <w:color w:val="auto"/>
          <w:sz w:val="32"/>
          <w:szCs w:val="32"/>
          <w:highlight w:val="none"/>
          <w:lang w:val="en-US" w:eastAsia="zh-CN"/>
        </w:rPr>
        <w:t>7.6</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本年人员减少，落实过紧日子要求，合理压缩机关运行经费</w:t>
      </w:r>
      <w:r>
        <w:rPr>
          <w:rFonts w:hint="eastAsia" w:ascii="仿宋_GB2312" w:hAnsi="仿宋_GB2312" w:eastAsia="仿宋_GB2312"/>
          <w:b w:val="0"/>
          <w:bCs/>
          <w:color w:val="auto"/>
          <w:sz w:val="32"/>
          <w:szCs w:val="32"/>
          <w:highlight w:val="none"/>
        </w:rPr>
        <w:t>；年末结转和结余</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万元，较2021年减少</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 xml:space="preserve"> %，主要原因是：</w:t>
      </w:r>
      <w:r>
        <w:rPr>
          <w:rFonts w:hint="eastAsia" w:ascii="仿宋_GB2312" w:hAnsi="仿宋_GB2312" w:eastAsia="仿宋_GB2312"/>
          <w:b w:val="0"/>
          <w:bCs/>
          <w:color w:val="auto"/>
          <w:sz w:val="32"/>
          <w:szCs w:val="32"/>
          <w:highlight w:val="none"/>
          <w:lang w:val="en-US" w:eastAsia="zh-CN"/>
        </w:rPr>
        <w:t>年末财政已将全部指标收回，本年末无余额</w:t>
      </w:r>
      <w:r>
        <w:rPr>
          <w:rFonts w:hint="eastAsia" w:ascii="仿宋_GB2312" w:hAnsi="仿宋_GB2312" w:eastAsia="仿宋_GB2312"/>
          <w:b w:val="0"/>
          <w:bCs/>
          <w:color w:val="auto"/>
          <w:sz w:val="32"/>
          <w:szCs w:val="32"/>
          <w:highlight w:val="none"/>
        </w:rPr>
        <w:t>。</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本年支出的具体构成为：基本支出</w:t>
      </w:r>
      <w:r>
        <w:rPr>
          <w:rFonts w:hint="eastAsia" w:ascii="仿宋_GB2312" w:hAnsi="仿宋_GB2312" w:eastAsia="仿宋_GB2312"/>
          <w:b w:val="0"/>
          <w:bCs/>
          <w:color w:val="auto"/>
          <w:sz w:val="32"/>
          <w:szCs w:val="32"/>
          <w:highlight w:val="none"/>
          <w:lang w:val="en-US" w:eastAsia="zh-CN"/>
        </w:rPr>
        <w:t>2063.62</w:t>
      </w:r>
      <w:r>
        <w:rPr>
          <w:rFonts w:hint="eastAsia" w:ascii="仿宋_GB2312" w:hAnsi="仿宋_GB2312" w:eastAsia="仿宋_GB2312"/>
          <w:b w:val="0"/>
          <w:bCs/>
          <w:color w:val="auto"/>
          <w:sz w:val="32"/>
          <w:szCs w:val="32"/>
          <w:highlight w:val="none"/>
        </w:rPr>
        <w:t>万元，占</w:t>
      </w:r>
      <w:r>
        <w:rPr>
          <w:rFonts w:hint="eastAsia" w:ascii="仿宋_GB2312" w:hAnsi="仿宋_GB2312" w:eastAsia="仿宋_GB2312"/>
          <w:b w:val="0"/>
          <w:bCs/>
          <w:color w:val="auto"/>
          <w:sz w:val="32"/>
          <w:szCs w:val="32"/>
          <w:highlight w:val="none"/>
          <w:lang w:val="en-US" w:eastAsia="zh-CN"/>
        </w:rPr>
        <w:t>68.1</w:t>
      </w:r>
      <w:r>
        <w:rPr>
          <w:rFonts w:hint="eastAsia" w:ascii="仿宋_GB2312" w:hAnsi="仿宋_GB2312" w:eastAsia="仿宋_GB2312"/>
          <w:b w:val="0"/>
          <w:bCs/>
          <w:color w:val="auto"/>
          <w:sz w:val="32"/>
          <w:szCs w:val="32"/>
          <w:highlight w:val="none"/>
        </w:rPr>
        <w:t>%；项目支出</w:t>
      </w:r>
      <w:r>
        <w:rPr>
          <w:rFonts w:hint="eastAsia" w:ascii="仿宋_GB2312" w:hAnsi="仿宋_GB2312" w:eastAsia="仿宋_GB2312"/>
          <w:b w:val="0"/>
          <w:bCs/>
          <w:color w:val="auto"/>
          <w:sz w:val="32"/>
          <w:szCs w:val="32"/>
          <w:highlight w:val="none"/>
          <w:lang w:val="en-US" w:eastAsia="zh-CN"/>
        </w:rPr>
        <w:t>968</w:t>
      </w:r>
      <w:r>
        <w:rPr>
          <w:rFonts w:hint="eastAsia" w:ascii="仿宋_GB2312" w:hAnsi="仿宋_GB2312" w:eastAsia="仿宋_GB2312"/>
          <w:b w:val="0"/>
          <w:bCs/>
          <w:color w:val="auto"/>
          <w:sz w:val="32"/>
          <w:szCs w:val="32"/>
          <w:highlight w:val="none"/>
        </w:rPr>
        <w:t>万元，占</w:t>
      </w:r>
      <w:r>
        <w:rPr>
          <w:rFonts w:hint="eastAsia" w:ascii="仿宋_GB2312" w:hAnsi="仿宋_GB2312" w:eastAsia="仿宋_GB2312"/>
          <w:b w:val="0"/>
          <w:bCs/>
          <w:color w:val="auto"/>
          <w:sz w:val="32"/>
          <w:szCs w:val="32"/>
          <w:highlight w:val="none"/>
          <w:lang w:val="en-US" w:eastAsia="zh-CN"/>
        </w:rPr>
        <w:t>31.9</w:t>
      </w:r>
      <w:r>
        <w:rPr>
          <w:rFonts w:hint="eastAsia" w:ascii="仿宋_GB2312" w:hAnsi="仿宋_GB2312" w:eastAsia="仿宋_GB2312"/>
          <w:b w:val="0"/>
          <w:bCs/>
          <w:color w:val="auto"/>
          <w:sz w:val="32"/>
          <w:szCs w:val="32"/>
          <w:highlight w:val="none"/>
        </w:rPr>
        <w:t>%</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sz w:val="32"/>
          <w:szCs w:val="32"/>
        </w:rPr>
        <w:t>经营支出</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%；其他支出（对附属单位补助支出、上缴上级支出）</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万元，占</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w:t>
      </w:r>
      <w:r>
        <w:rPr>
          <w:rFonts w:hint="eastAsia" w:ascii="仿宋_GB2312" w:hAnsi="仿宋_GB2312" w:eastAsia="仿宋_GB2312"/>
          <w:b w:val="0"/>
          <w:bCs/>
          <w:color w:val="auto"/>
          <w:sz w:val="32"/>
          <w:szCs w:val="32"/>
          <w:highlight w:val="none"/>
        </w:rPr>
        <w:t>。</w:t>
      </w:r>
    </w:p>
    <w:p>
      <w:pPr>
        <w:ind w:firstLine="630"/>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三、财政拨款支出决算情况说明</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2022年度财政拨款本年支出年初预算数为</w:t>
      </w:r>
      <w:r>
        <w:rPr>
          <w:rFonts w:hint="eastAsia" w:ascii="仿宋_GB2312" w:hAnsi="仿宋_GB2312" w:eastAsia="仿宋_GB2312"/>
          <w:b w:val="0"/>
          <w:bCs/>
          <w:color w:val="auto"/>
          <w:sz w:val="32"/>
          <w:szCs w:val="32"/>
          <w:highlight w:val="none"/>
          <w:lang w:val="en-US" w:eastAsia="zh-CN"/>
        </w:rPr>
        <w:t>2977.73</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2918.21</w:t>
      </w:r>
      <w:r>
        <w:rPr>
          <w:rFonts w:hint="eastAsia" w:ascii="仿宋_GB2312" w:hAnsi="仿宋_GB2312" w:eastAsia="仿宋_GB2312"/>
          <w:b w:val="0"/>
          <w:bCs/>
          <w:color w:val="auto"/>
          <w:sz w:val="32"/>
          <w:szCs w:val="32"/>
          <w:highlight w:val="none"/>
        </w:rPr>
        <w:t>万元，完成年初预算的</w:t>
      </w:r>
      <w:r>
        <w:rPr>
          <w:rFonts w:hint="eastAsia" w:ascii="仿宋_GB2312" w:hAnsi="仿宋_GB2312" w:eastAsia="仿宋_GB2312"/>
          <w:b w:val="0"/>
          <w:bCs/>
          <w:color w:val="auto"/>
          <w:sz w:val="32"/>
          <w:szCs w:val="32"/>
          <w:highlight w:val="none"/>
          <w:lang w:val="en-US" w:eastAsia="zh-CN"/>
        </w:rPr>
        <w:t>98</w:t>
      </w:r>
      <w:r>
        <w:rPr>
          <w:rFonts w:hint="eastAsia" w:ascii="仿宋_GB2312" w:hAnsi="仿宋_GB2312" w:eastAsia="仿宋_GB2312"/>
          <w:b w:val="0"/>
          <w:bCs/>
          <w:color w:val="auto"/>
          <w:sz w:val="32"/>
          <w:szCs w:val="32"/>
          <w:highlight w:val="none"/>
        </w:rPr>
        <w:t>%。其中：</w:t>
      </w:r>
    </w:p>
    <w:p>
      <w:pPr>
        <w:ind w:firstLine="640" w:firstLineChars="20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（一）</w:t>
      </w:r>
      <w:r>
        <w:rPr>
          <w:rFonts w:hint="eastAsia" w:ascii="仿宋_GB2312" w:hAnsi="仿宋_GB2312" w:eastAsia="仿宋_GB2312" w:cs="仿宋_GB2312"/>
          <w:b w:val="0"/>
          <w:bCs/>
          <w:color w:val="auto"/>
          <w:kern w:val="0"/>
          <w:sz w:val="32"/>
          <w:szCs w:val="32"/>
          <w:highlight w:val="none"/>
          <w:lang w:val="en-US" w:eastAsia="zh-CN"/>
        </w:rPr>
        <w:t>一般公共服务</w:t>
      </w:r>
      <w:r>
        <w:rPr>
          <w:rFonts w:hint="eastAsia" w:ascii="仿宋_GB2312" w:hAnsi="仿宋_GB2312" w:eastAsia="仿宋_GB2312"/>
          <w:b w:val="0"/>
          <w:bCs/>
          <w:color w:val="auto"/>
          <w:sz w:val="32"/>
          <w:szCs w:val="32"/>
          <w:highlight w:val="none"/>
        </w:rPr>
        <w:t>支出年初预算数为</w:t>
      </w:r>
      <w:r>
        <w:rPr>
          <w:rFonts w:hint="eastAsia" w:ascii="仿宋_GB2312" w:hAnsi="仿宋_GB2312" w:eastAsia="仿宋_GB2312"/>
          <w:b w:val="0"/>
          <w:bCs/>
          <w:color w:val="auto"/>
          <w:sz w:val="32"/>
          <w:szCs w:val="32"/>
          <w:highlight w:val="none"/>
          <w:lang w:val="en-US" w:eastAsia="zh-CN"/>
        </w:rPr>
        <w:t>2406.84</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2356.88</w:t>
      </w:r>
      <w:r>
        <w:rPr>
          <w:rFonts w:hint="eastAsia" w:ascii="仿宋_GB2312" w:hAnsi="仿宋_GB2312" w:eastAsia="仿宋_GB2312"/>
          <w:b w:val="0"/>
          <w:bCs/>
          <w:color w:val="auto"/>
          <w:sz w:val="32"/>
          <w:szCs w:val="32"/>
          <w:highlight w:val="none"/>
        </w:rPr>
        <w:t>万元，完成年初预算的</w:t>
      </w:r>
      <w:r>
        <w:rPr>
          <w:rFonts w:hint="eastAsia" w:ascii="仿宋_GB2312" w:hAnsi="仿宋_GB2312" w:eastAsia="仿宋_GB2312"/>
          <w:b w:val="0"/>
          <w:bCs/>
          <w:color w:val="auto"/>
          <w:sz w:val="32"/>
          <w:szCs w:val="32"/>
          <w:highlight w:val="none"/>
          <w:lang w:val="en-US" w:eastAsia="zh-CN"/>
        </w:rPr>
        <w:t>97.9</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落实过紧日子的要求，减少非必要开支，节约公用经费</w:t>
      </w:r>
      <w:r>
        <w:rPr>
          <w:rFonts w:hint="eastAsia" w:ascii="仿宋_GB2312" w:hAnsi="仿宋_GB2312" w:eastAsia="仿宋_GB2312"/>
          <w:b w:val="0"/>
          <w:bCs/>
          <w:color w:val="auto"/>
          <w:sz w:val="32"/>
          <w:szCs w:val="32"/>
          <w:highlight w:val="none"/>
        </w:rPr>
        <w:t>。</w:t>
      </w:r>
    </w:p>
    <w:p>
      <w:pPr>
        <w:ind w:firstLine="640" w:firstLineChars="200"/>
        <w:rPr>
          <w:rFonts w:hint="eastAsia" w:ascii="仿宋_GB2312" w:hAnsi="仿宋_GB2312" w:eastAsia="仿宋_GB2312"/>
          <w:b w:val="0"/>
          <w:bCs/>
          <w:color w:val="auto"/>
          <w:sz w:val="32"/>
          <w:szCs w:val="32"/>
          <w:highlight w:val="none"/>
        </w:rPr>
      </w:pPr>
      <w:r>
        <w:rPr>
          <w:rFonts w:hint="eastAsia" w:ascii="仿宋_GB2312" w:hAnsi="仿宋_GB2312" w:eastAsia="仿宋_GB2312" w:cs="仿宋_GB2312"/>
          <w:b w:val="0"/>
          <w:bCs/>
          <w:color w:val="auto"/>
          <w:kern w:val="0"/>
          <w:sz w:val="32"/>
          <w:szCs w:val="32"/>
          <w:highlight w:val="none"/>
        </w:rPr>
        <w:t>（二）社会保障和就业支出</w:t>
      </w:r>
      <w:r>
        <w:rPr>
          <w:rFonts w:hint="eastAsia" w:ascii="仿宋_GB2312" w:hAnsi="仿宋_GB2312" w:eastAsia="仿宋_GB2312"/>
          <w:b w:val="0"/>
          <w:bCs/>
          <w:color w:val="auto"/>
          <w:sz w:val="32"/>
          <w:szCs w:val="32"/>
          <w:highlight w:val="none"/>
        </w:rPr>
        <w:t>年初预算数为</w:t>
      </w:r>
      <w:r>
        <w:rPr>
          <w:rFonts w:hint="eastAsia" w:ascii="仿宋_GB2312" w:hAnsi="仿宋_GB2312" w:eastAsia="仿宋_GB2312"/>
          <w:b w:val="0"/>
          <w:bCs/>
          <w:color w:val="auto"/>
          <w:sz w:val="32"/>
          <w:szCs w:val="32"/>
          <w:highlight w:val="none"/>
          <w:lang w:val="en-US" w:eastAsia="zh-CN"/>
        </w:rPr>
        <w:t>230.02</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267.45</w:t>
      </w:r>
      <w:r>
        <w:rPr>
          <w:rFonts w:hint="eastAsia" w:ascii="仿宋_GB2312" w:hAnsi="仿宋_GB2312" w:eastAsia="仿宋_GB2312"/>
          <w:b w:val="0"/>
          <w:bCs/>
          <w:color w:val="auto"/>
          <w:sz w:val="32"/>
          <w:szCs w:val="32"/>
          <w:highlight w:val="none"/>
        </w:rPr>
        <w:t>万元，完成年初预算的</w:t>
      </w:r>
      <w:r>
        <w:rPr>
          <w:rFonts w:hint="eastAsia" w:ascii="仿宋_GB2312" w:hAnsi="仿宋_GB2312" w:eastAsia="仿宋_GB2312"/>
          <w:b w:val="0"/>
          <w:bCs/>
          <w:color w:val="auto"/>
          <w:sz w:val="32"/>
          <w:szCs w:val="32"/>
          <w:highlight w:val="none"/>
          <w:lang w:val="en-US" w:eastAsia="zh-CN"/>
        </w:rPr>
        <w:t>115.9</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中途新进人员，且社保基数调整，对应的社保缴费增加</w:t>
      </w:r>
      <w:r>
        <w:rPr>
          <w:rFonts w:hint="eastAsia" w:ascii="仿宋_GB2312" w:hAnsi="仿宋_GB2312" w:eastAsia="仿宋_GB2312"/>
          <w:b w:val="0"/>
          <w:bCs/>
          <w:color w:val="auto"/>
          <w:sz w:val="32"/>
          <w:szCs w:val="32"/>
          <w:highlight w:val="none"/>
        </w:rPr>
        <w:t>。</w:t>
      </w:r>
    </w:p>
    <w:p>
      <w:pPr>
        <w:ind w:firstLine="640" w:firstLineChars="20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三</w:t>
      </w:r>
      <w:r>
        <w:rPr>
          <w:rFonts w:hint="eastAsia" w:ascii="仿宋_GB2312" w:hAnsi="仿宋_GB2312" w:eastAsia="仿宋_GB2312"/>
          <w:b w:val="0"/>
          <w:bCs/>
          <w:color w:val="auto"/>
          <w:sz w:val="32"/>
          <w:szCs w:val="32"/>
          <w:highlight w:val="none"/>
          <w:lang w:eastAsia="zh-CN"/>
        </w:rPr>
        <w:t>）卫生健康支出</w:t>
      </w:r>
      <w:r>
        <w:rPr>
          <w:rFonts w:hint="eastAsia" w:ascii="仿宋_GB2312" w:hAnsi="仿宋_GB2312" w:eastAsia="仿宋_GB2312"/>
          <w:b w:val="0"/>
          <w:bCs/>
          <w:color w:val="auto"/>
          <w:sz w:val="32"/>
          <w:szCs w:val="32"/>
          <w:highlight w:val="none"/>
        </w:rPr>
        <w:t>初预算数为</w:t>
      </w:r>
      <w:r>
        <w:rPr>
          <w:rFonts w:hint="eastAsia" w:ascii="仿宋_GB2312" w:hAnsi="仿宋_GB2312" w:eastAsia="仿宋_GB2312"/>
          <w:b w:val="0"/>
          <w:bCs/>
          <w:color w:val="auto"/>
          <w:sz w:val="32"/>
          <w:szCs w:val="32"/>
          <w:highlight w:val="none"/>
          <w:lang w:val="en-US" w:eastAsia="zh-CN"/>
        </w:rPr>
        <w:t>221.81</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176.97</w:t>
      </w:r>
      <w:r>
        <w:rPr>
          <w:rFonts w:hint="eastAsia" w:ascii="仿宋_GB2312" w:hAnsi="仿宋_GB2312" w:eastAsia="仿宋_GB2312"/>
          <w:b w:val="0"/>
          <w:bCs/>
          <w:color w:val="auto"/>
          <w:sz w:val="32"/>
          <w:szCs w:val="32"/>
          <w:highlight w:val="none"/>
        </w:rPr>
        <w:t>万元，完成年初预算的</w:t>
      </w:r>
      <w:r>
        <w:rPr>
          <w:rFonts w:hint="eastAsia" w:ascii="仿宋_GB2312" w:hAnsi="仿宋_GB2312" w:eastAsia="仿宋_GB2312"/>
          <w:b w:val="0"/>
          <w:bCs/>
          <w:color w:val="auto"/>
          <w:sz w:val="32"/>
          <w:szCs w:val="32"/>
          <w:highlight w:val="none"/>
          <w:lang w:val="en-US" w:eastAsia="zh-CN"/>
        </w:rPr>
        <w:t>79.8</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本年有调出及退休人员</w:t>
      </w:r>
      <w:r>
        <w:rPr>
          <w:rFonts w:hint="eastAsia" w:ascii="仿宋_GB2312" w:hAnsi="仿宋_GB2312" w:eastAsia="仿宋_GB2312"/>
          <w:b w:val="0"/>
          <w:bCs/>
          <w:color w:val="auto"/>
          <w:sz w:val="32"/>
          <w:szCs w:val="32"/>
          <w:highlight w:val="none"/>
        </w:rPr>
        <w:t>。</w:t>
      </w:r>
    </w:p>
    <w:p>
      <w:pPr>
        <w:ind w:firstLine="640" w:firstLineChars="20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四</w:t>
      </w:r>
      <w:r>
        <w:rPr>
          <w:rFonts w:hint="eastAsia" w:ascii="仿宋_GB2312" w:hAnsi="仿宋_GB2312" w:eastAsia="仿宋_GB2312"/>
          <w:b w:val="0"/>
          <w:bCs/>
          <w:color w:val="auto"/>
          <w:sz w:val="32"/>
          <w:szCs w:val="32"/>
          <w:highlight w:val="none"/>
          <w:lang w:eastAsia="zh-CN"/>
        </w:rPr>
        <w:t>）住房保障支出</w:t>
      </w:r>
      <w:r>
        <w:rPr>
          <w:rFonts w:hint="eastAsia" w:ascii="仿宋_GB2312" w:hAnsi="仿宋_GB2312" w:eastAsia="仿宋_GB2312"/>
          <w:b w:val="0"/>
          <w:bCs/>
          <w:color w:val="auto"/>
          <w:sz w:val="32"/>
          <w:szCs w:val="32"/>
          <w:highlight w:val="none"/>
        </w:rPr>
        <w:t>初预算数为</w:t>
      </w:r>
      <w:r>
        <w:rPr>
          <w:rFonts w:hint="eastAsia" w:ascii="仿宋_GB2312" w:hAnsi="仿宋_GB2312" w:eastAsia="仿宋_GB2312"/>
          <w:b w:val="0"/>
          <w:bCs/>
          <w:color w:val="auto"/>
          <w:sz w:val="32"/>
          <w:szCs w:val="32"/>
          <w:highlight w:val="none"/>
          <w:lang w:val="en-US" w:eastAsia="zh-CN"/>
        </w:rPr>
        <w:t>119.07</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116.91</w:t>
      </w:r>
      <w:r>
        <w:rPr>
          <w:rFonts w:hint="eastAsia" w:ascii="仿宋_GB2312" w:hAnsi="仿宋_GB2312" w:eastAsia="仿宋_GB2312"/>
          <w:b w:val="0"/>
          <w:bCs/>
          <w:color w:val="auto"/>
          <w:sz w:val="32"/>
          <w:szCs w:val="32"/>
          <w:highlight w:val="none"/>
        </w:rPr>
        <w:t>万元，完成年初预算的</w:t>
      </w:r>
      <w:r>
        <w:rPr>
          <w:rFonts w:hint="eastAsia" w:ascii="仿宋_GB2312" w:hAnsi="仿宋_GB2312" w:eastAsia="仿宋_GB2312"/>
          <w:b w:val="0"/>
          <w:bCs/>
          <w:color w:val="auto"/>
          <w:sz w:val="32"/>
          <w:szCs w:val="32"/>
          <w:highlight w:val="none"/>
          <w:lang w:val="en-US" w:eastAsia="zh-CN"/>
        </w:rPr>
        <w:t>98.2</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本年有调出及退休人员</w:t>
      </w:r>
      <w:r>
        <w:rPr>
          <w:rFonts w:hint="eastAsia" w:ascii="仿宋_GB2312" w:hAnsi="仿宋_GB2312" w:eastAsia="仿宋_GB2312"/>
          <w:b w:val="0"/>
          <w:bCs/>
          <w:color w:val="auto"/>
          <w:sz w:val="32"/>
          <w:szCs w:val="32"/>
          <w:highlight w:val="none"/>
        </w:rPr>
        <w:t>。</w:t>
      </w:r>
    </w:p>
    <w:p>
      <w:pPr>
        <w:ind w:firstLine="640" w:firstLineChars="200"/>
        <w:rPr>
          <w:rFonts w:hint="default" w:ascii="仿宋_GB2312" w:hAnsi="仿宋_GB2312" w:eastAsia="仿宋_GB2312"/>
          <w:b w:val="0"/>
          <w:bCs/>
          <w:color w:val="auto"/>
          <w:sz w:val="32"/>
          <w:szCs w:val="32"/>
          <w:highlight w:val="none"/>
          <w:lang w:val="en-US" w:eastAsia="zh-CN"/>
        </w:rPr>
      </w:pP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五</w:t>
      </w:r>
      <w:r>
        <w:rPr>
          <w:rFonts w:hint="eastAsia" w:ascii="仿宋_GB2312" w:hAnsi="仿宋_GB2312" w:eastAsia="仿宋_GB2312"/>
          <w:b w:val="0"/>
          <w:bCs/>
          <w:color w:val="auto"/>
          <w:sz w:val="32"/>
          <w:szCs w:val="32"/>
          <w:highlight w:val="none"/>
          <w:lang w:eastAsia="zh-CN"/>
        </w:rPr>
        <w:t>）其他支出</w:t>
      </w:r>
      <w:r>
        <w:rPr>
          <w:rFonts w:hint="eastAsia" w:ascii="仿宋_GB2312" w:hAnsi="仿宋_GB2312" w:eastAsia="仿宋_GB2312"/>
          <w:b w:val="0"/>
          <w:bCs/>
          <w:color w:val="auto"/>
          <w:sz w:val="32"/>
          <w:szCs w:val="32"/>
          <w:highlight w:val="none"/>
        </w:rPr>
        <w:t>初预算数为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万元，主要原因是：</w:t>
      </w:r>
      <w:r>
        <w:rPr>
          <w:rFonts w:hint="eastAsia" w:ascii="仿宋_GB2312" w:hAnsi="仿宋_GB2312" w:eastAsia="仿宋_GB2312"/>
          <w:b w:val="0"/>
          <w:bCs/>
          <w:color w:val="auto"/>
          <w:sz w:val="32"/>
          <w:szCs w:val="32"/>
          <w:highlight w:val="none"/>
          <w:lang w:val="en-US" w:eastAsia="zh-CN"/>
        </w:rPr>
        <w:t>财政拨款支出无其他支出</w:t>
      </w:r>
      <w:r>
        <w:rPr>
          <w:rFonts w:hint="eastAsia" w:ascii="仿宋_GB2312" w:hAnsi="仿宋_GB2312" w:eastAsia="仿宋_GB2312"/>
          <w:b w:val="0"/>
          <w:bCs/>
          <w:color w:val="auto"/>
          <w:sz w:val="32"/>
          <w:szCs w:val="32"/>
          <w:highlight w:val="none"/>
        </w:rPr>
        <w:t>。</w:t>
      </w:r>
    </w:p>
    <w:p>
      <w:pPr>
        <w:ind w:firstLine="585"/>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四、一般公共预算财政拨款基本支出决算情况说明</w:t>
      </w:r>
    </w:p>
    <w:p>
      <w:pPr>
        <w:ind w:firstLine="585"/>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2022年度一般公共预算财政拨款基本支出</w:t>
      </w:r>
      <w:r>
        <w:rPr>
          <w:rFonts w:hint="eastAsia" w:ascii="仿宋_GB2312" w:hAnsi="仿宋_GB2312" w:eastAsia="仿宋_GB2312"/>
          <w:b w:val="0"/>
          <w:bCs/>
          <w:color w:val="auto"/>
          <w:sz w:val="32"/>
          <w:szCs w:val="32"/>
          <w:highlight w:val="none"/>
          <w:lang w:val="en-US" w:eastAsia="zh-CN"/>
        </w:rPr>
        <w:t>2063.62</w:t>
      </w:r>
      <w:r>
        <w:rPr>
          <w:rFonts w:hint="eastAsia" w:ascii="仿宋_GB2312" w:hAnsi="仿宋_GB2312" w:eastAsia="仿宋_GB2312"/>
          <w:b w:val="0"/>
          <w:bCs/>
          <w:color w:val="auto"/>
          <w:sz w:val="32"/>
          <w:szCs w:val="32"/>
          <w:highlight w:val="none"/>
        </w:rPr>
        <w:t>万元，其中：</w:t>
      </w:r>
    </w:p>
    <w:p>
      <w:pPr>
        <w:ind w:firstLine="585"/>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（一）工资福利支出</w:t>
      </w:r>
      <w:r>
        <w:rPr>
          <w:rFonts w:hint="eastAsia" w:ascii="仿宋_GB2312" w:hAnsi="仿宋_GB2312" w:eastAsia="仿宋_GB2312"/>
          <w:b w:val="0"/>
          <w:bCs/>
          <w:color w:val="auto"/>
          <w:sz w:val="32"/>
          <w:szCs w:val="32"/>
          <w:highlight w:val="none"/>
          <w:lang w:val="en-US" w:eastAsia="zh-CN"/>
        </w:rPr>
        <w:t>1813.48</w:t>
      </w:r>
      <w:r>
        <w:rPr>
          <w:rFonts w:hint="eastAsia" w:ascii="仿宋_GB2312" w:hAnsi="仿宋_GB2312" w:eastAsia="仿宋_GB2312"/>
          <w:b w:val="0"/>
          <w:bCs/>
          <w:color w:val="auto"/>
          <w:sz w:val="32"/>
          <w:szCs w:val="32"/>
          <w:highlight w:val="none"/>
        </w:rPr>
        <w:t>万元，较2021年增加</w:t>
      </w:r>
      <w:r>
        <w:rPr>
          <w:rFonts w:hint="eastAsia" w:ascii="仿宋_GB2312" w:hAnsi="仿宋_GB2312" w:eastAsia="仿宋_GB2312"/>
          <w:b w:val="0"/>
          <w:bCs/>
          <w:color w:val="auto"/>
          <w:sz w:val="32"/>
          <w:szCs w:val="32"/>
          <w:highlight w:val="none"/>
          <w:lang w:val="en-US" w:eastAsia="zh-CN"/>
        </w:rPr>
        <w:t>284.54</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18.6</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本年账务处理上对部门经济科目进行调整，将去年计入对个人和家庭补助支出的科目于本年计入工资福利支出</w:t>
      </w:r>
      <w:r>
        <w:rPr>
          <w:rFonts w:hint="eastAsia" w:ascii="仿宋_GB2312" w:hAnsi="仿宋_GB2312" w:eastAsia="仿宋_GB2312"/>
          <w:b w:val="0"/>
          <w:bCs/>
          <w:color w:val="auto"/>
          <w:sz w:val="32"/>
          <w:szCs w:val="32"/>
          <w:highlight w:val="none"/>
        </w:rPr>
        <w:t>。</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（二）商品和服务支出</w:t>
      </w:r>
      <w:r>
        <w:rPr>
          <w:rFonts w:hint="eastAsia" w:ascii="仿宋_GB2312" w:hAnsi="仿宋_GB2312" w:eastAsia="仿宋_GB2312"/>
          <w:b w:val="0"/>
          <w:bCs/>
          <w:color w:val="auto"/>
          <w:sz w:val="32"/>
          <w:szCs w:val="32"/>
          <w:highlight w:val="none"/>
          <w:lang w:val="en-US" w:eastAsia="zh-CN"/>
        </w:rPr>
        <w:t>180.19</w:t>
      </w:r>
      <w:r>
        <w:rPr>
          <w:rFonts w:hint="eastAsia" w:ascii="仿宋_GB2312" w:hAnsi="仿宋_GB2312" w:eastAsia="仿宋_GB2312"/>
          <w:b w:val="0"/>
          <w:bCs/>
          <w:color w:val="auto"/>
          <w:sz w:val="32"/>
          <w:szCs w:val="32"/>
          <w:highlight w:val="none"/>
        </w:rPr>
        <w:t>万元，较2021年减少</w:t>
      </w:r>
      <w:r>
        <w:rPr>
          <w:rFonts w:hint="eastAsia" w:ascii="仿宋_GB2312" w:hAnsi="仿宋_GB2312" w:eastAsia="仿宋_GB2312"/>
          <w:b w:val="0"/>
          <w:bCs/>
          <w:color w:val="auto"/>
          <w:sz w:val="32"/>
          <w:szCs w:val="32"/>
          <w:highlight w:val="none"/>
          <w:lang w:val="en-US" w:eastAsia="zh-CN"/>
        </w:rPr>
        <w:t>267.52</w:t>
      </w:r>
      <w:r>
        <w:rPr>
          <w:rFonts w:hint="eastAsia" w:ascii="仿宋_GB2312" w:hAnsi="仿宋_GB2312" w:eastAsia="仿宋_GB2312"/>
          <w:b w:val="0"/>
          <w:bCs/>
          <w:color w:val="auto"/>
          <w:sz w:val="32"/>
          <w:szCs w:val="32"/>
          <w:highlight w:val="none"/>
        </w:rPr>
        <w:t>万元，</w:t>
      </w:r>
      <w:r>
        <w:rPr>
          <w:rFonts w:hint="eastAsia" w:ascii="仿宋_GB2312" w:hAnsi="仿宋_GB2312" w:eastAsia="仿宋_GB2312"/>
          <w:b w:val="0"/>
          <w:bCs/>
          <w:color w:val="auto"/>
          <w:sz w:val="32"/>
          <w:szCs w:val="32"/>
          <w:highlight w:val="none"/>
          <w:lang w:val="en-US" w:eastAsia="zh-CN"/>
        </w:rPr>
        <w:t>下降59.8</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一是本年无上年结转的基本支出，二是调出及退休的人数较上年增加</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三是</w:t>
      </w:r>
      <w:r>
        <w:rPr>
          <w:rFonts w:hint="eastAsia" w:ascii="仿宋_GB2312" w:hAnsi="仿宋_GB2312" w:eastAsia="仿宋_GB2312"/>
          <w:b w:val="0"/>
          <w:bCs/>
          <w:color w:val="auto"/>
          <w:sz w:val="32"/>
          <w:szCs w:val="32"/>
          <w:highlight w:val="none"/>
        </w:rPr>
        <w:t>落实过紧日子要求压减</w:t>
      </w:r>
      <w:r>
        <w:rPr>
          <w:rFonts w:hint="eastAsia" w:ascii="仿宋_GB2312" w:hAnsi="仿宋_GB2312" w:eastAsia="仿宋_GB2312"/>
          <w:b w:val="0"/>
          <w:bCs/>
          <w:color w:val="auto"/>
          <w:sz w:val="32"/>
          <w:szCs w:val="32"/>
          <w:highlight w:val="none"/>
          <w:lang w:val="en-US" w:eastAsia="zh-CN"/>
        </w:rPr>
        <w:t>商品服务支出</w:t>
      </w:r>
      <w:r>
        <w:rPr>
          <w:rFonts w:hint="eastAsia" w:ascii="仿宋_GB2312" w:hAnsi="仿宋_GB2312" w:eastAsia="仿宋_GB2312"/>
          <w:b w:val="0"/>
          <w:bCs/>
          <w:color w:val="auto"/>
          <w:sz w:val="32"/>
          <w:szCs w:val="32"/>
          <w:highlight w:val="none"/>
        </w:rPr>
        <w:t>。</w:t>
      </w:r>
    </w:p>
    <w:p>
      <w:pPr>
        <w:ind w:firstLine="585"/>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（三）对个人和家庭补助支出</w:t>
      </w:r>
      <w:r>
        <w:rPr>
          <w:rFonts w:hint="eastAsia" w:ascii="仿宋_GB2312" w:hAnsi="仿宋_GB2312" w:eastAsia="仿宋_GB2312"/>
          <w:b w:val="0"/>
          <w:bCs/>
          <w:color w:val="auto"/>
          <w:sz w:val="32"/>
          <w:szCs w:val="32"/>
          <w:highlight w:val="none"/>
          <w:lang w:val="en-US" w:eastAsia="zh-CN"/>
        </w:rPr>
        <w:t>69.41</w:t>
      </w:r>
      <w:r>
        <w:rPr>
          <w:rFonts w:hint="eastAsia" w:ascii="仿宋_GB2312" w:hAnsi="仿宋_GB2312" w:eastAsia="仿宋_GB2312"/>
          <w:b w:val="0"/>
          <w:bCs/>
          <w:color w:val="auto"/>
          <w:sz w:val="32"/>
          <w:szCs w:val="32"/>
          <w:highlight w:val="none"/>
        </w:rPr>
        <w:t>万元，较2021年</w:t>
      </w:r>
      <w:r>
        <w:rPr>
          <w:rFonts w:hint="eastAsia" w:ascii="仿宋_GB2312" w:hAnsi="仿宋_GB2312" w:eastAsia="仿宋_GB2312"/>
          <w:b w:val="0"/>
          <w:bCs/>
          <w:color w:val="auto"/>
          <w:sz w:val="32"/>
          <w:szCs w:val="32"/>
          <w:highlight w:val="none"/>
          <w:lang w:val="en-US" w:eastAsia="zh-CN"/>
        </w:rPr>
        <w:t>减少308.95</w:t>
      </w:r>
      <w:r>
        <w:rPr>
          <w:rFonts w:hint="eastAsia" w:ascii="仿宋_GB2312" w:hAnsi="仿宋_GB2312" w:eastAsia="仿宋_GB2312"/>
          <w:b w:val="0"/>
          <w:bCs/>
          <w:color w:val="auto"/>
          <w:sz w:val="32"/>
          <w:szCs w:val="32"/>
          <w:highlight w:val="none"/>
        </w:rPr>
        <w:t>万元，下降</w:t>
      </w:r>
      <w:r>
        <w:rPr>
          <w:rFonts w:hint="eastAsia" w:ascii="仿宋_GB2312" w:hAnsi="仿宋_GB2312" w:eastAsia="仿宋_GB2312"/>
          <w:b w:val="0"/>
          <w:bCs/>
          <w:color w:val="auto"/>
          <w:sz w:val="32"/>
          <w:szCs w:val="32"/>
          <w:highlight w:val="none"/>
          <w:lang w:val="en-US" w:eastAsia="zh-CN"/>
        </w:rPr>
        <w:t>81.7</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本年账务处理上对部门经济科目进行调整，将去年计入对个人和家庭补助支出的科目于本年计入工资福利支出</w:t>
      </w:r>
      <w:r>
        <w:rPr>
          <w:rFonts w:hint="eastAsia" w:ascii="仿宋_GB2312" w:hAnsi="仿宋_GB2312" w:eastAsia="仿宋_GB2312"/>
          <w:b w:val="0"/>
          <w:bCs/>
          <w:color w:val="auto"/>
          <w:sz w:val="32"/>
          <w:szCs w:val="32"/>
          <w:highlight w:val="none"/>
        </w:rPr>
        <w:t>。</w:t>
      </w:r>
    </w:p>
    <w:p>
      <w:pPr>
        <w:ind w:firstLine="585"/>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（四）资本性支出</w:t>
      </w:r>
      <w:r>
        <w:rPr>
          <w:rFonts w:hint="eastAsia" w:ascii="仿宋_GB2312" w:hAnsi="仿宋_GB2312" w:eastAsia="仿宋_GB2312"/>
          <w:b w:val="0"/>
          <w:bCs/>
          <w:color w:val="auto"/>
          <w:sz w:val="32"/>
          <w:szCs w:val="32"/>
          <w:highlight w:val="none"/>
          <w:lang w:val="en-US" w:eastAsia="zh-CN"/>
        </w:rPr>
        <w:t>0.54</w:t>
      </w:r>
      <w:r>
        <w:rPr>
          <w:rFonts w:hint="eastAsia" w:ascii="仿宋_GB2312" w:hAnsi="仿宋_GB2312" w:eastAsia="仿宋_GB2312"/>
          <w:b w:val="0"/>
          <w:bCs/>
          <w:color w:val="auto"/>
          <w:sz w:val="32"/>
          <w:szCs w:val="32"/>
          <w:highlight w:val="none"/>
        </w:rPr>
        <w:t>万元，较2021年增加</w:t>
      </w:r>
      <w:r>
        <w:rPr>
          <w:rFonts w:hint="eastAsia" w:ascii="仿宋_GB2312" w:hAnsi="仿宋_GB2312" w:eastAsia="仿宋_GB2312"/>
          <w:b w:val="0"/>
          <w:bCs/>
          <w:color w:val="auto"/>
          <w:sz w:val="32"/>
          <w:szCs w:val="32"/>
          <w:highlight w:val="none"/>
          <w:lang w:val="en-US" w:eastAsia="zh-CN"/>
        </w:rPr>
        <w:t>0.54</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100</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本年度购置办公设备0.54万元</w:t>
      </w:r>
      <w:r>
        <w:rPr>
          <w:rFonts w:hint="eastAsia" w:ascii="仿宋_GB2312" w:hAnsi="仿宋_GB2312" w:eastAsia="仿宋_GB2312"/>
          <w:b w:val="0"/>
          <w:bCs/>
          <w:color w:val="auto"/>
          <w:sz w:val="32"/>
          <w:szCs w:val="32"/>
          <w:highlight w:val="none"/>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五、财政拨款“三公”经费支出决算情况说明</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本单位2022年度财政拨款“三公”经费支出全年预算数为</w:t>
      </w:r>
      <w:r>
        <w:rPr>
          <w:rFonts w:hint="eastAsia" w:ascii="仿宋_GB2312" w:hAnsi="仿宋_GB2312" w:eastAsia="仿宋_GB2312"/>
          <w:b w:val="0"/>
          <w:bCs/>
          <w:color w:val="auto"/>
          <w:sz w:val="32"/>
          <w:szCs w:val="32"/>
          <w:highlight w:val="none"/>
          <w:lang w:val="en-US" w:eastAsia="zh-CN"/>
        </w:rPr>
        <w:t>53.13</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53.03</w:t>
      </w:r>
      <w:r>
        <w:rPr>
          <w:rFonts w:hint="eastAsia" w:ascii="仿宋_GB2312" w:hAnsi="仿宋_GB2312" w:eastAsia="仿宋_GB2312"/>
          <w:b w:val="0"/>
          <w:bCs/>
          <w:color w:val="auto"/>
          <w:sz w:val="32"/>
          <w:szCs w:val="32"/>
          <w:highlight w:val="none"/>
        </w:rPr>
        <w:t>万元，完成全年预算的</w:t>
      </w:r>
      <w:r>
        <w:rPr>
          <w:rFonts w:hint="eastAsia" w:ascii="仿宋_GB2312" w:hAnsi="仿宋_GB2312" w:eastAsia="仿宋_GB2312"/>
          <w:b w:val="0"/>
          <w:bCs/>
          <w:color w:val="auto"/>
          <w:sz w:val="32"/>
          <w:szCs w:val="32"/>
          <w:highlight w:val="none"/>
          <w:lang w:val="en-US" w:eastAsia="zh-CN"/>
        </w:rPr>
        <w:t>99.8</w:t>
      </w:r>
      <w:r>
        <w:rPr>
          <w:rFonts w:hint="eastAsia" w:ascii="仿宋_GB2312" w:hAnsi="仿宋_GB2312" w:eastAsia="仿宋_GB2312"/>
          <w:b w:val="0"/>
          <w:bCs/>
          <w:color w:val="auto"/>
          <w:sz w:val="32"/>
          <w:szCs w:val="32"/>
          <w:highlight w:val="none"/>
        </w:rPr>
        <w:t>%，决算数较2021年减少</w:t>
      </w:r>
      <w:r>
        <w:rPr>
          <w:rFonts w:hint="eastAsia" w:ascii="仿宋_GB2312" w:hAnsi="仿宋_GB2312" w:eastAsia="仿宋_GB2312"/>
          <w:b w:val="0"/>
          <w:bCs/>
          <w:color w:val="auto"/>
          <w:sz w:val="32"/>
          <w:szCs w:val="32"/>
          <w:highlight w:val="none"/>
          <w:lang w:val="en-US" w:eastAsia="zh-CN"/>
        </w:rPr>
        <w:t>5.7</w:t>
      </w:r>
      <w:r>
        <w:rPr>
          <w:rFonts w:hint="eastAsia" w:ascii="仿宋_GB2312" w:hAnsi="仿宋_GB2312" w:eastAsia="仿宋_GB2312"/>
          <w:b w:val="0"/>
          <w:bCs/>
          <w:color w:val="auto"/>
          <w:sz w:val="32"/>
          <w:szCs w:val="32"/>
          <w:highlight w:val="none"/>
        </w:rPr>
        <w:t>万元，下降</w:t>
      </w:r>
      <w:r>
        <w:rPr>
          <w:rFonts w:hint="eastAsia" w:ascii="仿宋_GB2312" w:hAnsi="仿宋_GB2312" w:eastAsia="仿宋_GB2312"/>
          <w:b w:val="0"/>
          <w:bCs/>
          <w:color w:val="auto"/>
          <w:sz w:val="32"/>
          <w:szCs w:val="32"/>
          <w:highlight w:val="none"/>
          <w:lang w:val="en-US" w:eastAsia="zh-CN"/>
        </w:rPr>
        <w:t>9.7</w:t>
      </w:r>
      <w:r>
        <w:rPr>
          <w:rFonts w:hint="eastAsia" w:ascii="仿宋_GB2312" w:hAnsi="仿宋_GB2312" w:eastAsia="仿宋_GB2312"/>
          <w:b w:val="0"/>
          <w:bCs/>
          <w:color w:val="auto"/>
          <w:sz w:val="32"/>
          <w:szCs w:val="32"/>
          <w:highlight w:val="none"/>
        </w:rPr>
        <w:t>%，其中：</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一</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rPr>
        <w:t>因公出国（境）支出全年预算数为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万元，完成全年预算的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%，决算数较2021年增加</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本年及上年均无因公出国（境）支出</w:t>
      </w:r>
      <w:r>
        <w:rPr>
          <w:rFonts w:hint="eastAsia" w:ascii="仿宋_GB2312" w:hAnsi="仿宋_GB2312" w:eastAsia="仿宋_GB2312"/>
          <w:b w:val="0"/>
          <w:bCs/>
          <w:color w:val="auto"/>
          <w:sz w:val="32"/>
          <w:szCs w:val="32"/>
          <w:highlight w:val="none"/>
        </w:rPr>
        <w:t>。</w:t>
      </w:r>
    </w:p>
    <w:p>
      <w:pPr>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二</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rPr>
        <w:t>公务接待费支出全年预算数为</w:t>
      </w:r>
      <w:r>
        <w:rPr>
          <w:rFonts w:hint="eastAsia" w:ascii="仿宋_GB2312" w:hAnsi="仿宋_GB2312" w:eastAsia="仿宋_GB2312"/>
          <w:b w:val="0"/>
          <w:bCs/>
          <w:color w:val="auto"/>
          <w:sz w:val="32"/>
          <w:szCs w:val="32"/>
          <w:highlight w:val="none"/>
          <w:lang w:val="en-US" w:eastAsia="zh-CN"/>
        </w:rPr>
        <w:t>15.68</w:t>
      </w:r>
      <w:r>
        <w:rPr>
          <w:rFonts w:hint="eastAsia" w:ascii="仿宋_GB2312" w:hAnsi="仿宋_GB2312" w:eastAsia="仿宋_GB2312"/>
          <w:b w:val="0"/>
          <w:bCs/>
          <w:color w:val="auto"/>
          <w:sz w:val="32"/>
          <w:szCs w:val="32"/>
          <w:highlight w:val="none"/>
        </w:rPr>
        <w:t>万元，决算数</w:t>
      </w:r>
      <w:r>
        <w:rPr>
          <w:rFonts w:hint="eastAsia" w:ascii="仿宋_GB2312" w:hAnsi="仿宋_GB2312" w:eastAsia="仿宋_GB2312"/>
          <w:b w:val="0"/>
          <w:bCs/>
          <w:color w:val="auto"/>
          <w:sz w:val="32"/>
          <w:szCs w:val="32"/>
          <w:highlight w:val="none"/>
          <w:lang w:val="en-US" w:eastAsia="zh-CN"/>
        </w:rPr>
        <w:t>为15.68</w:t>
      </w:r>
      <w:r>
        <w:rPr>
          <w:rFonts w:hint="eastAsia" w:ascii="仿宋_GB2312" w:hAnsi="仿宋_GB2312" w:eastAsia="仿宋_GB2312"/>
          <w:b w:val="0"/>
          <w:bCs/>
          <w:color w:val="auto"/>
          <w:sz w:val="32"/>
          <w:szCs w:val="32"/>
          <w:highlight w:val="none"/>
        </w:rPr>
        <w:t>万元，完成全年预算的</w:t>
      </w:r>
      <w:r>
        <w:rPr>
          <w:rFonts w:hint="eastAsia" w:ascii="仿宋_GB2312" w:hAnsi="仿宋_GB2312" w:eastAsia="仿宋_GB2312"/>
          <w:b w:val="0"/>
          <w:bCs/>
          <w:color w:val="auto"/>
          <w:sz w:val="32"/>
          <w:szCs w:val="32"/>
          <w:highlight w:val="none"/>
          <w:lang w:val="en-US" w:eastAsia="zh-CN"/>
        </w:rPr>
        <w:t>100</w:t>
      </w:r>
      <w:r>
        <w:rPr>
          <w:rFonts w:hint="eastAsia" w:ascii="仿宋_GB2312" w:hAnsi="仿宋_GB2312" w:eastAsia="仿宋_GB2312"/>
          <w:b w:val="0"/>
          <w:bCs/>
          <w:color w:val="auto"/>
          <w:sz w:val="32"/>
          <w:szCs w:val="32"/>
          <w:highlight w:val="none"/>
        </w:rPr>
        <w:t>%，决算数较2021年增加</w:t>
      </w:r>
      <w:r>
        <w:rPr>
          <w:rFonts w:hint="eastAsia" w:ascii="仿宋_GB2312" w:hAnsi="仿宋_GB2312" w:eastAsia="仿宋_GB2312"/>
          <w:b w:val="0"/>
          <w:bCs/>
          <w:color w:val="auto"/>
          <w:sz w:val="32"/>
          <w:szCs w:val="32"/>
          <w:highlight w:val="none"/>
          <w:lang w:val="en-US" w:eastAsia="zh-CN"/>
        </w:rPr>
        <w:t>3.21</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25.7</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根据县政府工作安排，我单位承担招商任务，商务接待较上年增加</w:t>
      </w:r>
      <w:r>
        <w:rPr>
          <w:rFonts w:hint="eastAsia" w:ascii="仿宋_GB2312" w:hAnsi="仿宋_GB2312" w:eastAsia="仿宋_GB2312"/>
          <w:b w:val="0"/>
          <w:bCs/>
          <w:color w:val="auto"/>
          <w:sz w:val="32"/>
          <w:szCs w:val="32"/>
          <w:highlight w:val="none"/>
        </w:rPr>
        <w:t>。决算数较全年预算数减少的主要原因是：</w:t>
      </w:r>
      <w:r>
        <w:rPr>
          <w:rFonts w:hint="eastAsia" w:ascii="仿宋_GB2312" w:hAnsi="仿宋_GB2312" w:eastAsia="仿宋_GB2312"/>
          <w:b w:val="0"/>
          <w:bCs/>
          <w:color w:val="auto"/>
          <w:sz w:val="32"/>
          <w:szCs w:val="32"/>
          <w:highlight w:val="none"/>
          <w:lang w:val="en-US" w:eastAsia="zh-CN"/>
        </w:rPr>
        <w:t>落实过紧日子要求，压减公务接待开支，</w:t>
      </w:r>
      <w:r>
        <w:rPr>
          <w:rFonts w:hint="eastAsia" w:ascii="仿宋_GB2312" w:hAnsi="仿宋_GB2312" w:eastAsia="仿宋_GB2312" w:cs="Times New Roman"/>
          <w:b w:val="0"/>
          <w:bCs/>
          <w:color w:val="auto"/>
          <w:sz w:val="32"/>
          <w:szCs w:val="32"/>
          <w:highlight w:val="none"/>
          <w:lang w:val="en-US" w:eastAsia="zh-CN"/>
        </w:rPr>
        <w:t>不超标准、不超规格接待。</w:t>
      </w:r>
      <w:r>
        <w:rPr>
          <w:rFonts w:hint="eastAsia" w:ascii="仿宋_GB2312" w:hAnsi="仿宋_GB2312" w:eastAsia="仿宋_GB2312"/>
          <w:b w:val="0"/>
          <w:bCs/>
          <w:color w:val="auto"/>
          <w:sz w:val="32"/>
          <w:szCs w:val="32"/>
          <w:highlight w:val="none"/>
        </w:rPr>
        <w:t>全年国内公务接待</w:t>
      </w:r>
      <w:r>
        <w:rPr>
          <w:rFonts w:hint="eastAsia" w:ascii="仿宋_GB2312" w:hAnsi="仿宋_GB2312" w:eastAsia="仿宋_GB2312"/>
          <w:b w:val="0"/>
          <w:bCs/>
          <w:color w:val="auto"/>
          <w:sz w:val="32"/>
          <w:szCs w:val="32"/>
          <w:highlight w:val="none"/>
          <w:lang w:val="en-US" w:eastAsia="zh-CN"/>
        </w:rPr>
        <w:t>166</w:t>
      </w:r>
      <w:r>
        <w:rPr>
          <w:rFonts w:hint="eastAsia" w:ascii="仿宋_GB2312" w:hAnsi="仿宋_GB2312" w:eastAsia="仿宋_GB2312"/>
          <w:b w:val="0"/>
          <w:bCs/>
          <w:color w:val="auto"/>
          <w:sz w:val="32"/>
          <w:szCs w:val="32"/>
          <w:highlight w:val="none"/>
        </w:rPr>
        <w:t>批，累计接待</w:t>
      </w:r>
      <w:r>
        <w:rPr>
          <w:rFonts w:hint="eastAsia" w:ascii="仿宋_GB2312" w:hAnsi="仿宋_GB2312" w:eastAsia="仿宋_GB2312"/>
          <w:b w:val="0"/>
          <w:bCs/>
          <w:color w:val="auto"/>
          <w:sz w:val="32"/>
          <w:szCs w:val="32"/>
          <w:highlight w:val="none"/>
          <w:lang w:val="en-US" w:eastAsia="zh-CN"/>
        </w:rPr>
        <w:t>1221</w:t>
      </w:r>
      <w:r>
        <w:rPr>
          <w:rFonts w:hint="eastAsia" w:ascii="仿宋_GB2312" w:hAnsi="仿宋_GB2312" w:eastAsia="仿宋_GB2312"/>
          <w:b w:val="0"/>
          <w:bCs/>
          <w:color w:val="auto"/>
          <w:sz w:val="32"/>
          <w:szCs w:val="32"/>
          <w:highlight w:val="none"/>
        </w:rPr>
        <w:t>人次，其中外事接待</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批，累计接待</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人次，</w:t>
      </w:r>
      <w:r>
        <w:rPr>
          <w:rFonts w:hint="eastAsia" w:ascii="仿宋_GB2312" w:hAnsi="仿宋_GB2312" w:eastAsia="仿宋_GB2312"/>
          <w:b w:val="0"/>
          <w:bCs/>
          <w:color w:val="auto"/>
          <w:sz w:val="32"/>
          <w:szCs w:val="32"/>
          <w:highlight w:val="none"/>
          <w:lang w:val="en-US" w:eastAsia="zh-CN"/>
        </w:rPr>
        <w:t>主要为：全年接待支出均为国内公务接待，无外事接待支出</w:t>
      </w:r>
      <w:r>
        <w:rPr>
          <w:rFonts w:hint="eastAsia" w:ascii="仿宋_GB2312" w:hAnsi="仿宋_GB2312" w:eastAsia="仿宋_GB2312"/>
          <w:b w:val="0"/>
          <w:bCs/>
          <w:color w:val="auto"/>
          <w:sz w:val="32"/>
          <w:szCs w:val="32"/>
          <w:highlight w:val="none"/>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（三）公务用车购置及运行维护费支出</w:t>
      </w:r>
      <w:r>
        <w:rPr>
          <w:rFonts w:hint="eastAsia" w:ascii="仿宋_GB2312" w:hAnsi="仿宋_GB2312" w:eastAsia="仿宋_GB2312"/>
          <w:b w:val="0"/>
          <w:bCs/>
          <w:color w:val="auto"/>
          <w:sz w:val="32"/>
          <w:szCs w:val="32"/>
          <w:highlight w:val="none"/>
          <w:lang w:val="en-US" w:eastAsia="zh-CN"/>
        </w:rPr>
        <w:t>37.35</w:t>
      </w:r>
      <w:r>
        <w:rPr>
          <w:rFonts w:hint="eastAsia" w:ascii="仿宋_GB2312" w:hAnsi="仿宋_GB2312" w:eastAsia="仿宋_GB2312"/>
          <w:b w:val="0"/>
          <w:bCs/>
          <w:color w:val="auto"/>
          <w:sz w:val="32"/>
          <w:szCs w:val="32"/>
          <w:highlight w:val="none"/>
        </w:rPr>
        <w:t>万元，其中公务用车购置全年预算数为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万元，完成全年预算的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%，决算数较2021年增加</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万元，增长</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本年及上年均无公车购置费预算</w:t>
      </w:r>
      <w:r>
        <w:rPr>
          <w:rFonts w:hint="eastAsia" w:ascii="仿宋_GB2312" w:hAnsi="仿宋_GB2312" w:eastAsia="仿宋_GB2312"/>
          <w:b w:val="0"/>
          <w:bCs/>
          <w:color w:val="auto"/>
          <w:sz w:val="32"/>
          <w:szCs w:val="32"/>
          <w:highlight w:val="none"/>
        </w:rPr>
        <w:t>，全年购置公务用车</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辆。决算数较全年预算数</w:t>
      </w:r>
      <w:r>
        <w:rPr>
          <w:rFonts w:hint="eastAsia" w:ascii="仿宋_GB2312" w:hAnsi="仿宋_GB2312" w:eastAsia="仿宋_GB2312"/>
          <w:b w:val="0"/>
          <w:bCs/>
          <w:color w:val="auto"/>
          <w:sz w:val="32"/>
          <w:szCs w:val="32"/>
          <w:highlight w:val="none"/>
          <w:lang w:val="en-US" w:eastAsia="zh-CN"/>
        </w:rPr>
        <w:t>无变化</w:t>
      </w:r>
      <w:r>
        <w:rPr>
          <w:rFonts w:hint="eastAsia" w:ascii="仿宋_GB2312" w:hAnsi="仿宋_GB2312" w:eastAsia="仿宋_GB2312"/>
          <w:b w:val="0"/>
          <w:bCs/>
          <w:color w:val="auto"/>
          <w:sz w:val="32"/>
          <w:szCs w:val="32"/>
          <w:highlight w:val="none"/>
        </w:rPr>
        <w:t>；公务用车运行维护费支出全年预算数为</w:t>
      </w:r>
      <w:r>
        <w:rPr>
          <w:rFonts w:hint="eastAsia" w:ascii="仿宋_GB2312" w:hAnsi="仿宋_GB2312" w:eastAsia="仿宋_GB2312"/>
          <w:b w:val="0"/>
          <w:bCs/>
          <w:color w:val="auto"/>
          <w:sz w:val="32"/>
          <w:szCs w:val="32"/>
          <w:highlight w:val="none"/>
          <w:lang w:val="en-US" w:eastAsia="zh-CN"/>
        </w:rPr>
        <w:t>37.45</w:t>
      </w:r>
      <w:r>
        <w:rPr>
          <w:rFonts w:hint="eastAsia" w:ascii="仿宋_GB2312" w:hAnsi="仿宋_GB2312" w:eastAsia="仿宋_GB2312"/>
          <w:b w:val="0"/>
          <w:bCs/>
          <w:color w:val="auto"/>
          <w:sz w:val="32"/>
          <w:szCs w:val="32"/>
          <w:highlight w:val="none"/>
        </w:rPr>
        <w:t>万元，决算数为</w:t>
      </w:r>
      <w:r>
        <w:rPr>
          <w:rFonts w:hint="eastAsia" w:ascii="仿宋_GB2312" w:hAnsi="仿宋_GB2312" w:eastAsia="仿宋_GB2312"/>
          <w:b w:val="0"/>
          <w:bCs/>
          <w:color w:val="auto"/>
          <w:sz w:val="32"/>
          <w:szCs w:val="32"/>
          <w:highlight w:val="none"/>
          <w:lang w:val="en-US" w:eastAsia="zh-CN"/>
        </w:rPr>
        <w:t>37.35</w:t>
      </w:r>
      <w:r>
        <w:rPr>
          <w:rFonts w:hint="eastAsia" w:ascii="仿宋_GB2312" w:hAnsi="仿宋_GB2312" w:eastAsia="仿宋_GB2312"/>
          <w:b w:val="0"/>
          <w:bCs/>
          <w:color w:val="auto"/>
          <w:sz w:val="32"/>
          <w:szCs w:val="32"/>
          <w:highlight w:val="none"/>
        </w:rPr>
        <w:t>万元，完成全年预算的</w:t>
      </w:r>
      <w:r>
        <w:rPr>
          <w:rFonts w:hint="eastAsia" w:ascii="仿宋_GB2312" w:hAnsi="仿宋_GB2312" w:eastAsia="仿宋_GB2312"/>
          <w:b w:val="0"/>
          <w:bCs/>
          <w:color w:val="auto"/>
          <w:sz w:val="32"/>
          <w:szCs w:val="32"/>
          <w:highlight w:val="none"/>
          <w:lang w:val="en-US" w:eastAsia="zh-CN"/>
        </w:rPr>
        <w:t>99.7</w:t>
      </w:r>
      <w:r>
        <w:rPr>
          <w:rFonts w:hint="eastAsia" w:ascii="仿宋_GB2312" w:hAnsi="仿宋_GB2312" w:eastAsia="仿宋_GB2312"/>
          <w:b w:val="0"/>
          <w:bCs/>
          <w:color w:val="auto"/>
          <w:sz w:val="32"/>
          <w:szCs w:val="32"/>
          <w:highlight w:val="none"/>
        </w:rPr>
        <w:t>%，决算数较2021年减少</w:t>
      </w:r>
      <w:r>
        <w:rPr>
          <w:rFonts w:hint="eastAsia" w:ascii="仿宋_GB2312" w:hAnsi="仿宋_GB2312" w:eastAsia="仿宋_GB2312"/>
          <w:b w:val="0"/>
          <w:bCs/>
          <w:color w:val="auto"/>
          <w:sz w:val="32"/>
          <w:szCs w:val="32"/>
          <w:highlight w:val="none"/>
          <w:lang w:val="en-US" w:eastAsia="zh-CN"/>
        </w:rPr>
        <w:t>8.92</w:t>
      </w:r>
      <w:r>
        <w:rPr>
          <w:rFonts w:hint="eastAsia" w:ascii="仿宋_GB2312" w:hAnsi="仿宋_GB2312" w:eastAsia="仿宋_GB2312"/>
          <w:b w:val="0"/>
          <w:bCs/>
          <w:color w:val="auto"/>
          <w:sz w:val="32"/>
          <w:szCs w:val="32"/>
          <w:highlight w:val="none"/>
        </w:rPr>
        <w:t>万元，下降</w:t>
      </w:r>
      <w:r>
        <w:rPr>
          <w:rFonts w:hint="eastAsia" w:ascii="仿宋_GB2312" w:hAnsi="仿宋_GB2312" w:eastAsia="仿宋_GB2312"/>
          <w:b w:val="0"/>
          <w:bCs/>
          <w:color w:val="auto"/>
          <w:sz w:val="32"/>
          <w:szCs w:val="32"/>
          <w:highlight w:val="none"/>
          <w:lang w:val="en-US" w:eastAsia="zh-CN"/>
        </w:rPr>
        <w:t>19.3</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落实过紧日子要求，压减公车运行维护开支</w:t>
      </w:r>
      <w:r>
        <w:rPr>
          <w:rFonts w:hint="eastAsia" w:ascii="仿宋_GB2312" w:hAnsi="仿宋_GB2312" w:eastAsia="仿宋_GB2312"/>
          <w:b w:val="0"/>
          <w:bCs/>
          <w:color w:val="auto"/>
          <w:sz w:val="32"/>
          <w:szCs w:val="32"/>
          <w:highlight w:val="none"/>
        </w:rPr>
        <w:t>，年末公务用车保有</w:t>
      </w:r>
      <w:r>
        <w:rPr>
          <w:rFonts w:hint="eastAsia" w:ascii="仿宋_GB2312" w:hAnsi="仿宋_GB2312" w:eastAsia="仿宋_GB2312"/>
          <w:b w:val="0"/>
          <w:bCs/>
          <w:color w:val="auto"/>
          <w:sz w:val="32"/>
          <w:szCs w:val="32"/>
          <w:highlight w:val="none"/>
          <w:lang w:val="en-US" w:eastAsia="zh-CN"/>
        </w:rPr>
        <w:t>14</w:t>
      </w:r>
      <w:r>
        <w:rPr>
          <w:rFonts w:hint="eastAsia" w:ascii="仿宋_GB2312" w:hAnsi="仿宋_GB2312" w:eastAsia="仿宋_GB2312"/>
          <w:b w:val="0"/>
          <w:bCs/>
          <w:color w:val="auto"/>
          <w:sz w:val="32"/>
          <w:szCs w:val="32"/>
          <w:highlight w:val="none"/>
        </w:rPr>
        <w:t>辆。决算数较全年预算数减少的主要原因是：</w:t>
      </w:r>
      <w:r>
        <w:rPr>
          <w:rFonts w:hint="eastAsia" w:ascii="仿宋_GB2312" w:hAnsi="仿宋_GB2312" w:eastAsia="仿宋_GB2312"/>
          <w:b w:val="0"/>
          <w:bCs/>
          <w:color w:val="auto"/>
          <w:sz w:val="32"/>
          <w:szCs w:val="32"/>
          <w:highlight w:val="none"/>
          <w:lang w:val="en-US" w:eastAsia="zh-CN"/>
        </w:rPr>
        <w:t>落实过紧日子要求，压减公车运行维护开支</w:t>
      </w:r>
      <w:r>
        <w:rPr>
          <w:rFonts w:hint="eastAsia" w:ascii="仿宋_GB2312" w:hAnsi="仿宋_GB2312" w:eastAsia="仿宋_GB2312"/>
          <w:b w:val="0"/>
          <w:bCs/>
          <w:color w:val="auto"/>
          <w:sz w:val="32"/>
          <w:szCs w:val="32"/>
          <w:highlight w:val="none"/>
        </w:rPr>
        <w:t>。</w:t>
      </w:r>
    </w:p>
    <w:p>
      <w:pPr>
        <w:ind w:firstLine="630"/>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六、机关运行经费支出情况说明</w:t>
      </w:r>
    </w:p>
    <w:p>
      <w:pPr>
        <w:ind w:firstLine="63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2022年度机关运行经费支出</w:t>
      </w:r>
      <w:r>
        <w:rPr>
          <w:rFonts w:hint="eastAsia" w:ascii="仿宋_GB2312" w:hAnsi="仿宋_GB2312" w:eastAsia="仿宋_GB2312"/>
          <w:b w:val="0"/>
          <w:bCs/>
          <w:color w:val="auto"/>
          <w:sz w:val="32"/>
          <w:szCs w:val="32"/>
          <w:highlight w:val="none"/>
          <w:lang w:val="en-US" w:eastAsia="zh-CN"/>
        </w:rPr>
        <w:t>180.73</w:t>
      </w:r>
      <w:r>
        <w:rPr>
          <w:rFonts w:hint="eastAsia" w:ascii="仿宋_GB2312" w:hAnsi="仿宋_GB2312" w:eastAsia="仿宋_GB2312"/>
          <w:b w:val="0"/>
          <w:bCs/>
          <w:color w:val="auto"/>
          <w:sz w:val="32"/>
          <w:szCs w:val="32"/>
          <w:highlight w:val="none"/>
        </w:rPr>
        <w:t>万元，较上年决算数减少</w:t>
      </w:r>
      <w:r>
        <w:rPr>
          <w:rFonts w:hint="eastAsia" w:ascii="仿宋_GB2312" w:hAnsi="仿宋_GB2312" w:eastAsia="仿宋_GB2312"/>
          <w:b w:val="0"/>
          <w:bCs/>
          <w:color w:val="auto"/>
          <w:sz w:val="32"/>
          <w:szCs w:val="32"/>
          <w:highlight w:val="none"/>
          <w:lang w:val="en-US" w:eastAsia="zh-CN"/>
        </w:rPr>
        <w:t>266.98</w:t>
      </w:r>
      <w:r>
        <w:rPr>
          <w:rFonts w:hint="eastAsia" w:ascii="仿宋_GB2312" w:hAnsi="仿宋_GB2312" w:eastAsia="仿宋_GB2312"/>
          <w:b w:val="0"/>
          <w:bCs/>
          <w:color w:val="auto"/>
          <w:sz w:val="32"/>
          <w:szCs w:val="32"/>
          <w:highlight w:val="none"/>
        </w:rPr>
        <w:t>万元，降低</w:t>
      </w:r>
      <w:r>
        <w:rPr>
          <w:rFonts w:hint="eastAsia" w:ascii="仿宋_GB2312" w:hAnsi="仿宋_GB2312" w:eastAsia="仿宋_GB2312"/>
          <w:b w:val="0"/>
          <w:bCs/>
          <w:color w:val="auto"/>
          <w:sz w:val="32"/>
          <w:szCs w:val="32"/>
          <w:highlight w:val="none"/>
          <w:lang w:val="en-US" w:eastAsia="zh-CN"/>
        </w:rPr>
        <w:t>59.6</w:t>
      </w:r>
      <w:r>
        <w:rPr>
          <w:rFonts w:hint="eastAsia" w:ascii="仿宋_GB2312" w:hAnsi="仿宋_GB2312" w:eastAsia="仿宋_GB2312"/>
          <w:b w:val="0"/>
          <w:bCs/>
          <w:color w:val="auto"/>
          <w:sz w:val="32"/>
          <w:szCs w:val="32"/>
          <w:highlight w:val="none"/>
        </w:rPr>
        <w:t>%，主要原因是：</w:t>
      </w:r>
      <w:r>
        <w:rPr>
          <w:rFonts w:hint="eastAsia" w:ascii="仿宋_GB2312" w:hAnsi="仿宋_GB2312" w:eastAsia="仿宋_GB2312"/>
          <w:b w:val="0"/>
          <w:bCs/>
          <w:color w:val="auto"/>
          <w:sz w:val="32"/>
          <w:szCs w:val="32"/>
          <w:highlight w:val="none"/>
          <w:lang w:val="en-US" w:eastAsia="zh-CN"/>
        </w:rPr>
        <w:t>一是本年无上年结转的基本支出，二是调出及退休的人数较上年增加</w:t>
      </w:r>
      <w:r>
        <w:rPr>
          <w:rFonts w:hint="eastAsia" w:ascii="仿宋_GB2312" w:hAnsi="仿宋_GB2312" w:eastAsia="仿宋_GB2312"/>
          <w:b w:val="0"/>
          <w:bCs/>
          <w:color w:val="auto"/>
          <w:sz w:val="32"/>
          <w:szCs w:val="32"/>
          <w:highlight w:val="none"/>
          <w:lang w:eastAsia="zh-CN"/>
        </w:rPr>
        <w:t>，</w:t>
      </w:r>
      <w:r>
        <w:rPr>
          <w:rFonts w:hint="eastAsia" w:ascii="仿宋_GB2312" w:hAnsi="仿宋_GB2312" w:eastAsia="仿宋_GB2312"/>
          <w:b w:val="0"/>
          <w:bCs/>
          <w:color w:val="auto"/>
          <w:sz w:val="32"/>
          <w:szCs w:val="32"/>
          <w:highlight w:val="none"/>
          <w:lang w:val="en-US" w:eastAsia="zh-CN"/>
        </w:rPr>
        <w:t>三是</w:t>
      </w:r>
      <w:r>
        <w:rPr>
          <w:rFonts w:hint="eastAsia" w:ascii="仿宋_GB2312" w:hAnsi="仿宋_GB2312" w:eastAsia="仿宋_GB2312"/>
          <w:b w:val="0"/>
          <w:bCs/>
          <w:color w:val="auto"/>
          <w:sz w:val="32"/>
          <w:szCs w:val="32"/>
          <w:highlight w:val="none"/>
        </w:rPr>
        <w:t>落实过紧日子要求压减</w:t>
      </w:r>
      <w:r>
        <w:rPr>
          <w:rFonts w:hint="eastAsia" w:ascii="仿宋_GB2312" w:hAnsi="仿宋_GB2312" w:eastAsia="仿宋_GB2312"/>
          <w:b w:val="0"/>
          <w:bCs/>
          <w:color w:val="auto"/>
          <w:sz w:val="32"/>
          <w:szCs w:val="32"/>
          <w:highlight w:val="none"/>
          <w:lang w:val="en-US" w:eastAsia="zh-CN"/>
        </w:rPr>
        <w:t>商品服务支出</w:t>
      </w:r>
      <w:r>
        <w:rPr>
          <w:rFonts w:hint="eastAsia" w:ascii="仿宋_GB2312" w:hAnsi="仿宋_GB2312" w:eastAsia="仿宋_GB2312"/>
          <w:b w:val="0"/>
          <w:bCs/>
          <w:color w:val="auto"/>
          <w:sz w:val="32"/>
          <w:szCs w:val="32"/>
          <w:highlight w:val="none"/>
        </w:rPr>
        <w:t>。</w:t>
      </w:r>
    </w:p>
    <w:p>
      <w:pPr>
        <w:ind w:firstLine="630"/>
        <w:rPr>
          <w:rFonts w:hint="default" w:ascii="黑体" w:hAnsi="黑体" w:eastAsia="黑体"/>
          <w:b w:val="0"/>
          <w:bCs/>
          <w:color w:val="auto"/>
          <w:sz w:val="32"/>
          <w:szCs w:val="32"/>
          <w:highlight w:val="none"/>
          <w:lang w:val="en-US" w:eastAsia="zh-CN"/>
        </w:rPr>
      </w:pPr>
      <w:r>
        <w:rPr>
          <w:rFonts w:hint="eastAsia" w:ascii="黑体" w:hAnsi="黑体" w:eastAsia="黑体"/>
          <w:b w:val="0"/>
          <w:bCs/>
          <w:color w:val="auto"/>
          <w:sz w:val="32"/>
          <w:szCs w:val="32"/>
          <w:highlight w:val="none"/>
        </w:rPr>
        <w:t>七、政府采购支出情况说明</w:t>
      </w:r>
      <w:r>
        <w:rPr>
          <w:rFonts w:hint="eastAsia" w:ascii="黑体" w:hAnsi="黑体" w:eastAsia="黑体"/>
          <w:b w:val="0"/>
          <w:bCs/>
          <w:color w:val="auto"/>
          <w:sz w:val="32"/>
          <w:szCs w:val="32"/>
          <w:highlight w:val="none"/>
          <w:lang w:val="en-US" w:eastAsia="zh-CN"/>
        </w:rPr>
        <w:t xml:space="preserve"> </w:t>
      </w:r>
    </w:p>
    <w:p>
      <w:pPr>
        <w:pStyle w:val="13"/>
        <w:spacing w:line="600" w:lineRule="atLeast"/>
        <w:ind w:firstLine="600"/>
        <w:rPr>
          <w:rFonts w:hint="eastAsia" w:ascii="仿宋_GB2312" w:hAnsi="仿宋_GB2312" w:eastAsia="仿宋_GB2312"/>
          <w:b w:val="0"/>
          <w:bCs/>
          <w:color w:val="auto"/>
          <w:sz w:val="32"/>
          <w:szCs w:val="32"/>
          <w:highlight w:val="none"/>
        </w:rPr>
      </w:pPr>
      <w:r>
        <w:rPr>
          <w:rFonts w:hint="eastAsia" w:ascii="仿宋_GB2312" w:hAnsi="仿宋_GB2312" w:eastAsia="仿宋_GB2312"/>
          <w:b w:val="0"/>
          <w:bCs/>
          <w:color w:val="auto"/>
          <w:sz w:val="32"/>
          <w:szCs w:val="32"/>
          <w:highlight w:val="none"/>
        </w:rPr>
        <w:t>本</w:t>
      </w:r>
      <w:r>
        <w:rPr>
          <w:rFonts w:hint="eastAsia" w:ascii="仿宋_GB2312" w:hAnsi="仿宋_GB2312" w:eastAsia="仿宋_GB2312"/>
          <w:b w:val="0"/>
          <w:bCs/>
          <w:color w:val="auto"/>
          <w:sz w:val="32"/>
          <w:szCs w:val="32"/>
          <w:highlight w:val="none"/>
          <w:lang w:eastAsia="zh-CN"/>
        </w:rPr>
        <w:t>部门</w:t>
      </w:r>
      <w:r>
        <w:rPr>
          <w:rFonts w:hint="eastAsia" w:ascii="仿宋_GB2312" w:hAnsi="仿宋_GB2312" w:eastAsia="仿宋_GB2312"/>
          <w:b w:val="0"/>
          <w:bCs/>
          <w:color w:val="auto"/>
          <w:sz w:val="32"/>
          <w:szCs w:val="32"/>
          <w:highlight w:val="none"/>
        </w:rPr>
        <w:t>2022年度政府采购支出总额</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万元，其中：政府采购货物支出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万元、政府采购工程支出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万元、政府采购服务支出</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万元。授予中小企业合同金额</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万元，占政府采购支出总额的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%，其中：授予小微企业合同金额</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万元，占授予中小企业合同金额的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%；货物采购授予中小企业合同金额占货物支出金额的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 xml:space="preserve"> %，工程采购授予中小企业合同金额占工程支出金额的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%，服务采购授予中小企业合同金额占服务支出金额的</w:t>
      </w:r>
      <w:r>
        <w:rPr>
          <w:rFonts w:hint="eastAsia" w:ascii="仿宋_GB2312" w:hAnsi="仿宋_GB2312" w:eastAsia="仿宋_GB2312"/>
          <w:b w:val="0"/>
          <w:bCs/>
          <w:color w:val="auto"/>
          <w:sz w:val="32"/>
          <w:szCs w:val="32"/>
          <w:highlight w:val="none"/>
          <w:lang w:val="en-US" w:eastAsia="zh-CN"/>
        </w:rPr>
        <w:t>0</w:t>
      </w:r>
      <w:r>
        <w:rPr>
          <w:rFonts w:hint="eastAsia" w:ascii="仿宋_GB2312" w:hAnsi="仿宋_GB2312" w:eastAsia="仿宋_GB2312"/>
          <w:b w:val="0"/>
          <w:bCs/>
          <w:color w:val="auto"/>
          <w:sz w:val="32"/>
          <w:szCs w:val="32"/>
          <w:highlight w:val="none"/>
        </w:rPr>
        <w:t xml:space="preserve"> %。</w:t>
      </w:r>
    </w:p>
    <w:p>
      <w:pPr>
        <w:ind w:firstLine="630"/>
        <w:rPr>
          <w:rFonts w:hint="eastAsia" w:ascii="黑体" w:hAnsi="黑体" w:eastAsia="黑体"/>
          <w:b w:val="0"/>
          <w:bCs/>
          <w:color w:val="auto"/>
          <w:sz w:val="32"/>
          <w:szCs w:val="32"/>
          <w:highlight w:val="none"/>
        </w:rPr>
      </w:pPr>
      <w:r>
        <w:rPr>
          <w:rFonts w:hint="eastAsia" w:ascii="黑体" w:hAnsi="黑体" w:eastAsia="黑体"/>
          <w:b w:val="0"/>
          <w:bCs/>
          <w:color w:val="auto"/>
          <w:sz w:val="32"/>
          <w:szCs w:val="32"/>
          <w:highlight w:val="none"/>
        </w:rPr>
        <w:t>八、国有资产占用情况说明</w:t>
      </w:r>
    </w:p>
    <w:p>
      <w:pPr>
        <w:ind w:firstLine="630"/>
        <w:rPr>
          <w:rFonts w:hint="eastAsia" w:ascii="仿宋_GB2312" w:hAnsi="仿宋_GB2312" w:eastAsia="仿宋_GB2312"/>
          <w:b w:val="0"/>
          <w:bCs/>
          <w:color w:val="auto"/>
          <w:kern w:val="0"/>
          <w:sz w:val="32"/>
          <w:szCs w:val="32"/>
          <w:highlight w:val="none"/>
        </w:rPr>
      </w:pPr>
      <w:r>
        <w:rPr>
          <w:rFonts w:hint="eastAsia" w:ascii="仿宋_GB2312" w:hAnsi="仿宋_GB2312" w:eastAsia="仿宋_GB2312"/>
          <w:b w:val="0"/>
          <w:bCs/>
          <w:color w:val="auto"/>
          <w:kern w:val="0"/>
          <w:sz w:val="32"/>
          <w:szCs w:val="32"/>
          <w:highlight w:val="none"/>
        </w:rPr>
        <w:t>截止2022年12月31日，本</w:t>
      </w:r>
      <w:r>
        <w:rPr>
          <w:rFonts w:hint="eastAsia" w:ascii="仿宋_GB2312" w:hAnsi="仿宋_GB2312" w:eastAsia="仿宋_GB2312"/>
          <w:b w:val="0"/>
          <w:bCs/>
          <w:color w:val="auto"/>
          <w:kern w:val="0"/>
          <w:sz w:val="32"/>
          <w:szCs w:val="32"/>
          <w:highlight w:val="none"/>
          <w:lang w:eastAsia="zh-CN"/>
        </w:rPr>
        <w:t>部门</w:t>
      </w:r>
      <w:r>
        <w:rPr>
          <w:rFonts w:hint="eastAsia" w:ascii="仿宋_GB2312" w:hAnsi="仿宋_GB2312" w:eastAsia="仿宋_GB2312"/>
          <w:b w:val="0"/>
          <w:bCs/>
          <w:color w:val="auto"/>
          <w:kern w:val="0"/>
          <w:sz w:val="32"/>
          <w:szCs w:val="32"/>
          <w:highlight w:val="none"/>
        </w:rPr>
        <w:t>国有资产占用情况见公开10表《国有资产占用情况表》。其中</w:t>
      </w:r>
      <w:r>
        <w:rPr>
          <w:rFonts w:hint="eastAsia" w:ascii="仿宋_GB2312" w:hAnsi="仿宋_GB2312" w:eastAsia="仿宋_GB2312"/>
          <w:kern w:val="0"/>
          <w:sz w:val="32"/>
          <w:szCs w:val="32"/>
        </w:rPr>
        <w:t>车辆中的</w:t>
      </w:r>
      <w:r>
        <w:rPr>
          <w:rFonts w:hint="eastAsia" w:ascii="仿宋_GB2312" w:hAnsi="仿宋_GB2312" w:eastAsia="仿宋_GB2312"/>
          <w:kern w:val="0"/>
          <w:sz w:val="32"/>
          <w:szCs w:val="32"/>
          <w:lang w:val="en-US" w:eastAsia="zh-CN"/>
        </w:rPr>
        <w:t>无其他用车</w:t>
      </w:r>
      <w:r>
        <w:rPr>
          <w:rFonts w:hint="eastAsia" w:ascii="仿宋_GB2312" w:hAnsi="仿宋_GB2312" w:eastAsia="仿宋_GB2312"/>
          <w:b w:val="0"/>
          <w:bCs/>
          <w:color w:val="auto"/>
          <w:kern w:val="0"/>
          <w:sz w:val="32"/>
          <w:szCs w:val="32"/>
          <w:highlight w:val="none"/>
        </w:rPr>
        <w:t>。</w:t>
      </w:r>
    </w:p>
    <w:p>
      <w:pPr>
        <w:autoSpaceDE w:val="0"/>
        <w:autoSpaceDN w:val="0"/>
        <w:adjustRightInd w:val="0"/>
        <w:spacing w:line="360" w:lineRule="auto"/>
        <w:ind w:firstLine="640" w:firstLineChars="200"/>
        <w:rPr>
          <w:rFonts w:hint="eastAsia" w:ascii="黑体" w:hAnsi="黑体" w:eastAsia="黑体"/>
          <w:b w:val="0"/>
          <w:bCs w:val="0"/>
          <w:color w:val="auto"/>
          <w:sz w:val="32"/>
          <w:szCs w:val="32"/>
        </w:rPr>
      </w:pPr>
    </w:p>
    <w:p>
      <w:pPr>
        <w:autoSpaceDE w:val="0"/>
        <w:autoSpaceDN w:val="0"/>
        <w:adjustRightInd w:val="0"/>
        <w:spacing w:line="360" w:lineRule="auto"/>
        <w:ind w:firstLine="640" w:firstLineChars="200"/>
        <w:rPr>
          <w:rFonts w:hint="eastAsia" w:ascii="黑体" w:hAnsi="黑体" w:eastAsia="黑体"/>
          <w:b w:val="0"/>
          <w:bCs w:val="0"/>
          <w:color w:val="auto"/>
          <w:sz w:val="32"/>
          <w:szCs w:val="32"/>
        </w:rPr>
      </w:pPr>
    </w:p>
    <w:p>
      <w:pPr>
        <w:autoSpaceDE w:val="0"/>
        <w:autoSpaceDN w:val="0"/>
        <w:adjustRightInd w:val="0"/>
        <w:spacing w:line="360" w:lineRule="auto"/>
        <w:ind w:firstLine="640" w:firstLineChars="200"/>
        <w:rPr>
          <w:rFonts w:hint="eastAsia" w:ascii="黑体" w:hAnsi="黑体" w:eastAsia="黑体"/>
          <w:b w:val="0"/>
          <w:bCs w:val="0"/>
          <w:color w:val="auto"/>
          <w:sz w:val="32"/>
          <w:szCs w:val="32"/>
        </w:rPr>
      </w:pPr>
      <w:bookmarkStart w:id="0" w:name="_GoBack"/>
      <w:bookmarkEnd w:id="0"/>
    </w:p>
    <w:p>
      <w:pPr>
        <w:autoSpaceDE w:val="0"/>
        <w:autoSpaceDN w:val="0"/>
        <w:adjustRightInd w:val="0"/>
        <w:spacing w:line="360" w:lineRule="auto"/>
        <w:ind w:firstLine="640" w:firstLineChars="200"/>
        <w:rPr>
          <w:rFonts w:hint="eastAsia" w:ascii="仿宋_GB2312" w:hAnsi="仿宋_GB2312" w:eastAsia="仿宋_GB2312"/>
          <w:b w:val="0"/>
          <w:bCs/>
          <w:color w:val="auto"/>
          <w:kern w:val="0"/>
          <w:sz w:val="32"/>
          <w:szCs w:val="32"/>
          <w:highlight w:val="none"/>
        </w:rPr>
      </w:pPr>
      <w:r>
        <w:rPr>
          <w:rFonts w:hint="eastAsia" w:ascii="黑体" w:hAnsi="黑体" w:eastAsia="黑体"/>
          <w:b w:val="0"/>
          <w:bCs w:val="0"/>
          <w:color w:val="auto"/>
          <w:sz w:val="32"/>
          <w:szCs w:val="32"/>
        </w:rPr>
        <w:t>九、预算绩效评价情况说明</w:t>
      </w:r>
    </w:p>
    <w:p>
      <w:pPr>
        <w:keepNext w:val="0"/>
        <w:keepLines w:val="0"/>
        <w:pageBreakBefore w:val="0"/>
        <w:widowControl w:val="0"/>
        <w:kinsoku/>
        <w:wordWrap/>
        <w:overflowPunct/>
        <w:topLinePunct w:val="0"/>
        <w:autoSpaceDE w:val="0"/>
        <w:autoSpaceDN w:val="0"/>
        <w:bidi w:val="0"/>
        <w:adjustRightInd w:val="0"/>
        <w:snapToGrid/>
        <w:spacing w:line="240" w:lineRule="auto"/>
        <w:ind w:left="-105" w:leftChars="-50"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（一）绩</w:t>
      </w:r>
      <w:r>
        <w:rPr>
          <w:rFonts w:hint="eastAsia" w:ascii="楷体_GB2312" w:hAnsi="楷体_GB2312" w:eastAsia="楷体_GB2312" w:cs="楷体_GB2312"/>
          <w:b w:val="0"/>
          <w:bCs w:val="0"/>
          <w:color w:val="auto"/>
          <w:kern w:val="0"/>
          <w:sz w:val="32"/>
          <w:szCs w:val="32"/>
        </w:rPr>
        <w:t>效评价工作</w:t>
      </w:r>
      <w:r>
        <w:rPr>
          <w:rFonts w:hint="eastAsia" w:ascii="楷体_GB2312" w:hAnsi="楷体_GB2312" w:eastAsia="楷体_GB2312" w:cs="楷体_GB2312"/>
          <w:kern w:val="0"/>
          <w:sz w:val="32"/>
          <w:szCs w:val="32"/>
        </w:rPr>
        <w:t>开展情况</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cs="仿宋_GB2312"/>
          <w:kern w:val="0"/>
          <w:sz w:val="32"/>
          <w:szCs w:val="32"/>
          <w:lang w:val="en-US" w:eastAsia="zh-CN"/>
        </w:rPr>
        <w:t xml:space="preserve">根据预算绩效管理要求，我部门组织对纳入2022年度部门预算范围的二级项目22个全面开展绩效自评，共涉及资金710.47万元，占项目支出总额的73.4%。  </w:t>
      </w:r>
      <w:r>
        <w:rPr>
          <w:rFonts w:hint="eastAsia" w:ascii="仿宋_GB2312" w:hAnsi="仿宋_GB2312" w:eastAsia="仿宋_GB2312" w:cs="仿宋_GB2312"/>
          <w:kern w:val="0"/>
          <w:sz w:val="32"/>
          <w:szCs w:val="32"/>
        </w:rPr>
        <w:t xml:space="preserve"> </w:t>
      </w:r>
      <w:r>
        <w:rPr>
          <w:rFonts w:hint="eastAsia" w:ascii="仿宋_GB2312" w:hAnsi="仿宋_GB2312" w:eastAsia="仿宋_GB2312"/>
          <w:kern w:val="0"/>
          <w:sz w:val="32"/>
          <w:szCs w:val="32"/>
        </w:rPr>
        <w:t xml:space="preserve"> </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组织对“</w:t>
      </w:r>
      <w:r>
        <w:rPr>
          <w:rFonts w:hint="eastAsia" w:ascii="仿宋_GB2312" w:hAnsi="仿宋_GB2312" w:eastAsia="仿宋_GB2312"/>
          <w:kern w:val="0"/>
          <w:sz w:val="32"/>
          <w:szCs w:val="32"/>
          <w:lang w:val="en-US" w:eastAsia="zh-CN"/>
        </w:rPr>
        <w:t>查三无工作经费</w:t>
      </w:r>
      <w:r>
        <w:rPr>
          <w:rFonts w:hint="eastAsia" w:ascii="仿宋_GB2312" w:hAnsi="仿宋_GB2312" w:eastAsia="仿宋_GB2312"/>
          <w:kern w:val="0"/>
          <w:sz w:val="32"/>
          <w:szCs w:val="32"/>
        </w:rPr>
        <w:t>”、“</w:t>
      </w:r>
      <w:r>
        <w:rPr>
          <w:rFonts w:hint="eastAsia" w:ascii="仿宋_GB2312" w:hAnsi="仿宋_GB2312" w:eastAsia="仿宋_GB2312"/>
          <w:kern w:val="0"/>
          <w:sz w:val="32"/>
          <w:szCs w:val="32"/>
          <w:lang w:val="en-US" w:eastAsia="zh-CN"/>
        </w:rPr>
        <w:t>质量强市工作经费</w:t>
      </w:r>
      <w:r>
        <w:rPr>
          <w:rFonts w:hint="eastAsia" w:ascii="仿宋_GB2312" w:hAnsi="仿宋_GB2312" w:eastAsia="仿宋_GB2312"/>
          <w:kern w:val="0"/>
          <w:sz w:val="32"/>
          <w:szCs w:val="32"/>
        </w:rPr>
        <w:t>”等</w:t>
      </w:r>
      <w:r>
        <w:rPr>
          <w:rFonts w:hint="eastAsia" w:ascii="仿宋_GB2312" w:hAnsi="仿宋_GB2312" w:eastAsia="仿宋_GB2312"/>
          <w:kern w:val="0"/>
          <w:sz w:val="32"/>
          <w:szCs w:val="32"/>
          <w:lang w:val="en-US" w:eastAsia="zh-CN"/>
        </w:rPr>
        <w:t>22</w:t>
      </w:r>
      <w:r>
        <w:rPr>
          <w:rFonts w:hint="eastAsia" w:ascii="仿宋_GB2312" w:hAnsi="仿宋_GB2312" w:eastAsia="仿宋_GB2312"/>
          <w:kern w:val="0"/>
          <w:sz w:val="32"/>
          <w:szCs w:val="32"/>
        </w:rPr>
        <w:t>个项目开展了部门评价，涉及一般公共预算支出</w:t>
      </w:r>
      <w:r>
        <w:rPr>
          <w:rFonts w:hint="eastAsia" w:ascii="仿宋_GB2312" w:hAnsi="仿宋_GB2312" w:eastAsia="仿宋_GB2312"/>
          <w:kern w:val="0"/>
          <w:sz w:val="32"/>
          <w:szCs w:val="32"/>
          <w:lang w:val="en-US" w:eastAsia="zh-CN"/>
        </w:rPr>
        <w:t>710.47</w:t>
      </w:r>
      <w:r>
        <w:rPr>
          <w:rFonts w:hint="eastAsia" w:ascii="仿宋_GB2312" w:hAnsi="仿宋_GB2312" w:eastAsia="仿宋_GB2312"/>
          <w:kern w:val="0"/>
          <w:sz w:val="32"/>
          <w:szCs w:val="32"/>
        </w:rPr>
        <w:t>万元，政府性基金预算支出</w:t>
      </w:r>
      <w:r>
        <w:rPr>
          <w:rFonts w:hint="eastAsia" w:ascii="仿宋_GB2312" w:hAnsi="仿宋_GB2312" w:eastAsia="仿宋_GB2312"/>
          <w:kern w:val="0"/>
          <w:sz w:val="32"/>
          <w:szCs w:val="32"/>
          <w:lang w:val="en-US" w:eastAsia="zh-CN"/>
        </w:rPr>
        <w:t>0</w:t>
      </w:r>
      <w:r>
        <w:rPr>
          <w:rFonts w:hint="eastAsia" w:ascii="仿宋_GB2312" w:hAnsi="仿宋_GB2312" w:eastAsia="仿宋_GB2312"/>
          <w:kern w:val="0"/>
          <w:sz w:val="32"/>
          <w:szCs w:val="32"/>
        </w:rPr>
        <w:t>万元，国有资本预算支出</w:t>
      </w:r>
      <w:r>
        <w:rPr>
          <w:rFonts w:hint="eastAsia" w:ascii="仿宋_GB2312" w:hAnsi="仿宋_GB2312" w:eastAsia="仿宋_GB2312"/>
          <w:kern w:val="0"/>
          <w:sz w:val="32"/>
          <w:szCs w:val="32"/>
          <w:lang w:val="en-US" w:eastAsia="zh-CN"/>
        </w:rPr>
        <w:t>0</w:t>
      </w:r>
      <w:r>
        <w:rPr>
          <w:rFonts w:hint="eastAsia" w:ascii="仿宋_GB2312" w:hAnsi="仿宋_GB2312" w:eastAsia="仿宋_GB2312"/>
          <w:kern w:val="0"/>
          <w:sz w:val="32"/>
          <w:szCs w:val="32"/>
        </w:rPr>
        <w:t>万元。从评价情况来看，以上项目资金涉及的几个大类在数量指标、质量指标、时效指标、成本指标方面，指标值的合格率、检测率一般在95%-99%之间；从效益的角度来看，几个大类涉及的经济效益指标、社会效益指标、生态效益指标、可持续影响指标、满意度指标方面，指标值的利用率、安全性、满意度一般在95%-98%之间。</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cs="Times New Roman"/>
          <w:kern w:val="0"/>
          <w:sz w:val="32"/>
          <w:szCs w:val="32"/>
          <w:lang w:eastAsia="zh-CN"/>
        </w:rPr>
      </w:pPr>
      <w:r>
        <w:rPr>
          <w:rFonts w:hint="eastAsia" w:ascii="仿宋_GB2312" w:hAnsi="仿宋_GB2312" w:eastAsia="仿宋_GB2312"/>
          <w:kern w:val="0"/>
          <w:sz w:val="32"/>
          <w:szCs w:val="32"/>
        </w:rPr>
        <w:t>组织开展部门整体支出绩效评价，涉及一般公共预算支出2918.21万元，政府性基金预算支出</w:t>
      </w:r>
      <w:r>
        <w:rPr>
          <w:rFonts w:hint="eastAsia" w:ascii="仿宋_GB2312" w:hAnsi="仿宋_GB2312" w:eastAsia="仿宋_GB2312"/>
          <w:kern w:val="0"/>
          <w:sz w:val="32"/>
          <w:szCs w:val="32"/>
          <w:lang w:val="en-US" w:eastAsia="zh-CN"/>
        </w:rPr>
        <w:t>0</w:t>
      </w:r>
      <w:r>
        <w:rPr>
          <w:rFonts w:hint="eastAsia" w:ascii="仿宋_GB2312" w:hAnsi="仿宋_GB2312" w:eastAsia="仿宋_GB2312"/>
          <w:kern w:val="0"/>
          <w:sz w:val="32"/>
          <w:szCs w:val="32"/>
        </w:rPr>
        <w:t>万元。从评价情况来看，</w:t>
      </w:r>
      <w:r>
        <w:rPr>
          <w:rFonts w:hint="eastAsia" w:ascii="仿宋_GB2312" w:hAnsi="仿宋_GB2312" w:eastAsia="仿宋_GB2312" w:cs="Times New Roman"/>
          <w:kern w:val="0"/>
          <w:sz w:val="32"/>
          <w:szCs w:val="32"/>
          <w:lang w:val="en-US" w:eastAsia="zh-CN"/>
        </w:rPr>
        <w:t>我部门</w:t>
      </w:r>
      <w:r>
        <w:rPr>
          <w:rFonts w:hint="eastAsia" w:ascii="仿宋_GB2312" w:hAnsi="仿宋_GB2312" w:eastAsia="仿宋_GB2312" w:cs="Times New Roman"/>
          <w:kern w:val="0"/>
          <w:sz w:val="32"/>
          <w:szCs w:val="32"/>
        </w:rPr>
        <w:t>坚决履行职能职责，绩效明显，有效完成了本年度绩效目标</w:t>
      </w:r>
      <w:r>
        <w:rPr>
          <w:rFonts w:hint="eastAsia" w:ascii="仿宋_GB2312" w:hAnsi="仿宋_GB2312" w:eastAsia="仿宋_GB2312" w:cs="Times New Roman"/>
          <w:kern w:val="0"/>
          <w:sz w:val="32"/>
          <w:szCs w:val="32"/>
          <w:lang w:eastAsia="zh-CN"/>
        </w:rPr>
        <w:t>，</w:t>
      </w:r>
      <w:r>
        <w:rPr>
          <w:rFonts w:hint="eastAsia" w:ascii="仿宋_GB2312" w:hAnsi="仿宋_GB2312" w:eastAsia="仿宋_GB2312" w:cs="Times New Roman"/>
          <w:kern w:val="0"/>
          <w:sz w:val="32"/>
          <w:szCs w:val="32"/>
        </w:rPr>
        <w:t>根据整体绩效评定指标对各项目量化评价，</w:t>
      </w:r>
      <w:r>
        <w:rPr>
          <w:rFonts w:hint="eastAsia" w:ascii="仿宋_GB2312" w:hAnsi="仿宋_GB2312" w:eastAsia="仿宋_GB2312" w:cs="Times New Roman"/>
          <w:kern w:val="0"/>
          <w:sz w:val="32"/>
          <w:szCs w:val="32"/>
          <w:lang w:val="en-US" w:eastAsia="zh-CN"/>
        </w:rPr>
        <w:t>本年度绩效</w:t>
      </w:r>
      <w:r>
        <w:rPr>
          <w:rFonts w:hint="eastAsia" w:ascii="仿宋_GB2312" w:hAnsi="仿宋_GB2312" w:eastAsia="仿宋_GB2312" w:cs="Times New Roman"/>
          <w:kern w:val="0"/>
          <w:sz w:val="32"/>
          <w:szCs w:val="32"/>
        </w:rPr>
        <w:t>自评指标得分98分</w:t>
      </w:r>
      <w:r>
        <w:rPr>
          <w:rFonts w:hint="eastAsia" w:ascii="仿宋_GB2312" w:hAnsi="仿宋_GB2312" w:eastAsia="仿宋_GB2312" w:cs="Times New Roman"/>
          <w:kern w:val="0"/>
          <w:sz w:val="32"/>
          <w:szCs w:val="32"/>
          <w:lang w:eastAsia="zh-CN"/>
        </w:rPr>
        <w:t>。</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rPr>
      </w:pP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rPr>
      </w:pP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（二）部门决算中项目绩效自评结果</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rPr>
      </w:pPr>
      <w:r>
        <w:rPr>
          <w:rFonts w:hint="eastAsia" w:ascii="仿宋_GB2312" w:hAnsi="仿宋_GB2312" w:eastAsia="仿宋_GB2312"/>
          <w:kern w:val="0"/>
          <w:sz w:val="32"/>
          <w:szCs w:val="32"/>
        </w:rPr>
        <w:t xml:space="preserve"> </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部门项目绩效目标情况</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 </w:t>
      </w:r>
      <w:r>
        <w:rPr>
          <w:rFonts w:hint="eastAsia" w:ascii="仿宋_GB2312" w:hAnsi="仿宋_GB2312" w:eastAsia="仿宋_GB2312"/>
          <w:kern w:val="0"/>
          <w:sz w:val="32"/>
          <w:szCs w:val="32"/>
          <w:lang w:val="en-US" w:eastAsia="zh-CN"/>
        </w:rPr>
        <w:t>项目长期绩效目标是通过对各类相关产品的检测，确保相关产品在长时间里保持高质量；通过规范市场管理领域，充分保障行政许可在市场领域中的权威性。项目年度绩效目标主要是在本年度内扩大食药品产品的安全类别和范围，使食药品安全监管率在本年度达到90%以上；同时，搞好市场监管，做好普通许可、特许、核准、登记等工作</w:t>
      </w:r>
      <w:r>
        <w:rPr>
          <w:rFonts w:hint="eastAsia" w:ascii="仿宋_GB2312" w:hAnsi="仿宋_GB2312" w:eastAsia="仿宋_GB2312"/>
          <w:kern w:val="0"/>
          <w:sz w:val="32"/>
          <w:szCs w:val="32"/>
        </w:rPr>
        <w:t xml:space="preserve">。  </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2、部门自评工作开展情况</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lang w:val="en-US" w:eastAsia="zh-CN"/>
        </w:rPr>
        <w:t>我部门</w:t>
      </w:r>
      <w:r>
        <w:rPr>
          <w:rFonts w:hint="eastAsia" w:ascii="仿宋_GB2312" w:hAnsi="仿宋_GB2312" w:eastAsia="仿宋_GB2312"/>
          <w:kern w:val="0"/>
          <w:sz w:val="32"/>
          <w:szCs w:val="32"/>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pPr>
        <w:keepNext w:val="0"/>
        <w:keepLines w:val="0"/>
        <w:pageBreakBefore w:val="0"/>
        <w:widowControl w:val="0"/>
        <w:numPr>
          <w:ilvl w:val="0"/>
          <w:numId w:val="2"/>
        </w:numPr>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综合评价结论</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cs="Times New Roman"/>
          <w:kern w:val="0"/>
          <w:sz w:val="32"/>
          <w:szCs w:val="32"/>
          <w:lang w:val="en-US" w:eastAsia="zh-CN"/>
        </w:rPr>
      </w:pPr>
      <w:r>
        <w:rPr>
          <w:rFonts w:hint="eastAsia" w:ascii="仿宋_GB2312" w:hAnsi="仿宋_GB2312" w:eastAsia="仿宋_GB2312" w:cs="Times New Roman"/>
          <w:kern w:val="0"/>
          <w:sz w:val="32"/>
          <w:szCs w:val="32"/>
          <w:lang w:val="en-US" w:eastAsia="zh-CN"/>
        </w:rPr>
        <w:t>我部门根据整体绩效评定指标对各项目量化评价，自评指标平均得分96分。</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 xml:space="preserve">4、绩效目标完成情况总体分析 </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2022年度，我局坚决履行职能职责，绩效明显，有效完成了本年度</w:t>
      </w:r>
      <w:r>
        <w:rPr>
          <w:rFonts w:hint="eastAsia" w:ascii="仿宋_GB2312" w:hAnsi="仿宋_GB2312" w:eastAsia="仿宋_GB2312"/>
          <w:kern w:val="0"/>
          <w:sz w:val="32"/>
          <w:szCs w:val="32"/>
          <w:lang w:val="en-US" w:eastAsia="zh-CN"/>
        </w:rPr>
        <w:t>各项目年度</w:t>
      </w:r>
      <w:r>
        <w:rPr>
          <w:rFonts w:hint="eastAsia" w:ascii="仿宋_GB2312" w:hAnsi="仿宋_GB2312" w:eastAsia="仿宋_GB2312"/>
          <w:kern w:val="0"/>
          <w:sz w:val="32"/>
          <w:szCs w:val="32"/>
        </w:rPr>
        <w:t>绩效目标。</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一是一年内同时获得省、市首批“食品安全治理示范县”命名；在全市食品安全工作评议考核中获得优秀等次、是2015年机构改革以来首次；同时先后获得“全市市场监管系统扫黑除恶专项斗争先进集体”、“全县扫黑除恶专项斗争先进</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”、“全县创建模范机关先进</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”、“全县平安兴国建设先进</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”等荣誉；</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二是营商环境持续优化</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简政放权进一步落实。全力承接落实省、市下放的行政权力，划转12个主项137 个子项行政权力事项至行政审批局。实现一个窗口或一个股室“一站式”办理</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一网通办”进一步推进。进一步减环节、压材料、降成本、提效率，企业开办全面提速，注册登记时限压缩至0.5个工作日，企业网办率达100%。全年新增市场主体6332户，同比增长8.41%，全县实有市场主体40636户，同比增长8.19%。行政服务中心登记窗口获“全县政务服务系统服务模范窗口”（连续17年）信用监管进一步加强。归集市场主体信用信息2060条，联合其他部门对38户企业的公司法人、企业负责人进行了评价，联合惩戒10户，移出异常经营名录52户，信用修复2户，引导企业信用承诺545条，企业年报公示率达90.67%，企业主体信用意识明显增强。组织开展“守合同重信用公示</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”推荐活动，3家企业获评江西省“守合同重信用公示</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”，3家企业获评赣州市 “守合同重信用公示</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知识产权赋能进一步提升。2021年注册商标申请数1335件、注册数1112件，有效注册量达4758件，共有地理证明商标3件。新增授权专利624件（其中发明专利8件、实用新型专利278件、外观设计专利338件），新增有效发明专利21件，与历年3-4件相比，是增长最大的一年，累计有效发明专利49件，每万人有效发明专利拥有量0.68件。查处侵犯注册商标案4起，劝导当事人主动撤回涉嫌非正常申请专利72件。</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三是“三大安全”态势平稳</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食品药品安全监管水平更进一步。一是持续推进食品安全治理示范县创建工作。开展“护校行动”、节日食品安全、餐饮、小作坊质量提升等食品安全专项整治10余次，查处食品案件113起，罚没95万元。全面完成千人四份食品评价性抽检任务1780份，合格率97.75%。常态化开展“你送我检”活动，开展快检1467批次。圆满完成中国军工90周年、全省门球赛、县党代会、“两会”、中高考等重大活动餐饮食品安全保障任务16次。创建县级“洁厨亮灶”示范</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15家、县级示范食品小作坊10家、市级5家。兴国做法入选江西广播电视台《食安江西》人物访谈。二是持续加强药械化安全监管。全年抽检药品共49批次，合格率100%，上报药品不良反应监测报告1007 例、医疗器械不良事件监测报告408例、药物滥用监测报告96例、化妆品不良反应监测报告90例，超额完成上级下达的各项工作指标。积极开展新冠疫苗、新冠病毒检测试剂、中药饮片、处方药销售、药品网络销售、执业药师在岗打卡、医疗器械、婴儿和儿童用化妆品等专项整治行动，查处药械化案件34起</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特种设备安全监察成效更加突出。推动特种设备安全隐患风险分级管控和隐患排查治理双重预防机制建设，进一步完善风险防控体系。与全县257家特种设备使用</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签订了安全主体责任承诺书，压实企业安全主体责任。同时，严格监督检查，堵漏洞、扫死角、全覆盖，重点特种设备使用</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监督检查率达到100%。全年累计出动特种设备监察人员960余人次，检查企业350余家次，限期整改一般性风险隐患35条，立案查处特种设备违法案件5起。在全市特种设备安全监察暨专项整治三年行动“攻坚战”动员会上作了典型交流发言，在会昌县举办的全市特种设备安全监察培训会上进行了专题授课</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产品质量安全监管力度持续加大。聚焦儿童和学生用品、一次性塑料吸管、建筑材料、农资、成品油、家用电器、消防产品等与人民群众生产生活密切相关的重点产品，加强日常监管巡查，加大监督抽查力度和后处理力度，严打非法添加、掺杂掺假、以次充好等质量安全违法行为。一年来，共检查重点领域生产经营主体800余户，抽检重点产品155批次（其中抽检化肥37批次、钢筋5批次、铝合金3批次、成品油40批次、儿童和学生用品12批次、电器产品和消防产品7批次、机制砂24批次、烧结普通砖16批次、眼镜9个批次、其他2个批次），查处假冒伪劣产品违法案件67起。《江西兴国农资打假保春耕》在人民网作了报道。</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一年来，市场监管领域未发生重大安全事故，三大安全稳中向好。</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5、偏离绩效目标的原因和改进措施</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lang w:val="en-US" w:eastAsia="zh-CN"/>
        </w:rPr>
        <w:t>（1）</w:t>
      </w:r>
      <w:r>
        <w:rPr>
          <w:rFonts w:hint="eastAsia" w:ascii="仿宋_GB2312" w:hAnsi="仿宋_GB2312" w:eastAsia="仿宋_GB2312"/>
          <w:kern w:val="0"/>
          <w:sz w:val="32"/>
          <w:szCs w:val="32"/>
        </w:rPr>
        <w:t>主要问题及原因分析</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lang w:val="en-US" w:eastAsia="zh-CN"/>
        </w:rPr>
        <w:t>一是</w:t>
      </w:r>
      <w:r>
        <w:rPr>
          <w:rFonts w:hint="eastAsia" w:ascii="仿宋_GB2312" w:hAnsi="仿宋_GB2312" w:eastAsia="仿宋_GB2312"/>
          <w:kern w:val="0"/>
          <w:sz w:val="32"/>
          <w:szCs w:val="32"/>
        </w:rPr>
        <w:t>食品安全示范县创建工作能动性不足，各乡镇、相关职能部门配合、参与度不够，缺乏工作支持和经费保障。各乡镇、各部门宣传力度和工作力度还不够，宣传不到位，工作难深入，各项综合协调机制尚未健全，人力物力财力需要进一步给予保障，经费保障与其他示范创建县有一定的差距。</w:t>
      </w:r>
      <w:r>
        <w:rPr>
          <w:rFonts w:hint="eastAsia" w:ascii="仿宋_GB2312" w:hAnsi="仿宋_GB2312" w:eastAsia="仿宋_GB2312"/>
          <w:kern w:val="0"/>
          <w:sz w:val="32"/>
          <w:szCs w:val="32"/>
          <w:lang w:val="en-US" w:eastAsia="zh-CN"/>
        </w:rPr>
        <w:t>二是</w:t>
      </w:r>
      <w:r>
        <w:rPr>
          <w:rFonts w:hint="eastAsia" w:ascii="仿宋_GB2312" w:hAnsi="仿宋_GB2312" w:eastAsia="仿宋_GB2312"/>
          <w:kern w:val="0"/>
          <w:sz w:val="32"/>
          <w:szCs w:val="32"/>
        </w:rPr>
        <w:t>人员严重缺编与工作任务繁重矛盾日益突出。</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rPr>
        <w:t>改进的方向和具体措施</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一是强化制度保障。完善</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财务管理制度》及《经费管理办法》，将执法办案经费、打击传销经费、食品安全监管经费等专项经费单列出来并要求足额拨付，为专项资金的使用管理提供制度保障。二是强化绩效与经费挂钩。为保障专项资金用到实处，实行专项绩效与经费挂钩办法，除了拨付基本的专项经费外，对绩效目标明确、完成情况好的</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实行专项经费的再倾斜。</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6、绩效自评结果拟应用和公开情况</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1</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我</w:t>
      </w:r>
      <w:r>
        <w:rPr>
          <w:rFonts w:hint="eastAsia" w:ascii="仿宋_GB2312" w:hAnsi="仿宋_GB2312" w:eastAsia="仿宋_GB2312"/>
          <w:kern w:val="0"/>
          <w:sz w:val="32"/>
          <w:szCs w:val="32"/>
          <w:lang w:eastAsia="zh-CN"/>
        </w:rPr>
        <w:t>部门</w:t>
      </w:r>
      <w:r>
        <w:rPr>
          <w:rFonts w:hint="eastAsia" w:ascii="仿宋_GB2312" w:hAnsi="仿宋_GB2312" w:eastAsia="仿宋_GB2312"/>
          <w:kern w:val="0"/>
          <w:sz w:val="32"/>
          <w:szCs w:val="32"/>
        </w:rPr>
        <w:t>根据整体绩效评定指标对各项目量化评价，</w:t>
      </w:r>
      <w:r>
        <w:rPr>
          <w:rFonts w:hint="eastAsia" w:ascii="仿宋_GB2312" w:hAnsi="仿宋_GB2312" w:eastAsia="仿宋_GB2312"/>
          <w:kern w:val="0"/>
          <w:sz w:val="32"/>
          <w:szCs w:val="32"/>
          <w:lang w:val="en-US" w:eastAsia="zh-CN"/>
        </w:rPr>
        <w:t>各项目</w:t>
      </w:r>
      <w:r>
        <w:rPr>
          <w:rFonts w:hint="eastAsia" w:ascii="仿宋_GB2312" w:hAnsi="仿宋_GB2312" w:eastAsia="仿宋_GB2312"/>
          <w:kern w:val="0"/>
          <w:sz w:val="32"/>
          <w:szCs w:val="32"/>
        </w:rPr>
        <w:t>自评指标</w:t>
      </w:r>
      <w:r>
        <w:rPr>
          <w:rFonts w:hint="eastAsia" w:ascii="仿宋_GB2312" w:hAnsi="仿宋_GB2312" w:eastAsia="仿宋_GB2312"/>
          <w:kern w:val="0"/>
          <w:sz w:val="32"/>
          <w:szCs w:val="32"/>
          <w:lang w:val="en-US" w:eastAsia="zh-CN"/>
        </w:rPr>
        <w:t>平均</w:t>
      </w:r>
      <w:r>
        <w:rPr>
          <w:rFonts w:hint="eastAsia" w:ascii="仿宋_GB2312" w:hAnsi="仿宋_GB2312" w:eastAsia="仿宋_GB2312"/>
          <w:kern w:val="0"/>
          <w:sz w:val="32"/>
          <w:szCs w:val="32"/>
        </w:rPr>
        <w:t>得分</w:t>
      </w:r>
      <w:r>
        <w:rPr>
          <w:rFonts w:hint="eastAsia" w:ascii="仿宋_GB2312" w:hAnsi="仿宋_GB2312" w:eastAsia="仿宋_GB2312"/>
          <w:kern w:val="0"/>
          <w:sz w:val="32"/>
          <w:szCs w:val="32"/>
          <w:lang w:val="en-US" w:eastAsia="zh-CN"/>
        </w:rPr>
        <w:t>95</w:t>
      </w:r>
      <w:r>
        <w:rPr>
          <w:rFonts w:hint="eastAsia" w:ascii="仿宋_GB2312" w:hAnsi="仿宋_GB2312" w:eastAsia="仿宋_GB2312"/>
          <w:kern w:val="0"/>
          <w:sz w:val="32"/>
          <w:szCs w:val="32"/>
        </w:rPr>
        <w:t>分。</w:t>
      </w:r>
    </w:p>
    <w:p>
      <w:pPr>
        <w:keepNext w:val="0"/>
        <w:keepLines w:val="0"/>
        <w:pageBreakBefore w:val="0"/>
        <w:widowControl w:val="0"/>
        <w:kinsoku/>
        <w:wordWrap/>
        <w:overflowPunct/>
        <w:topLinePunct w:val="0"/>
        <w:bidi w:val="0"/>
        <w:snapToGrid/>
        <w:spacing w:line="240" w:lineRule="auto"/>
        <w:ind w:left="-105" w:leftChars="-50" w:firstLine="640" w:firstLineChars="200"/>
        <w:textAlignment w:val="auto"/>
        <w:rPr>
          <w:rFonts w:hint="eastAsia" w:ascii="仿宋_GB2312" w:hAnsi="仿宋_GB2312" w:eastAsia="仿宋_GB2312"/>
          <w:kern w:val="0"/>
          <w:sz w:val="32"/>
          <w:szCs w:val="32"/>
        </w:rPr>
      </w:pPr>
      <w:r>
        <w:rPr>
          <w:rFonts w:hint="eastAsia" w:ascii="仿宋_GB2312" w:hAnsi="仿宋_GB2312" w:eastAsia="仿宋_GB2312"/>
          <w:kern w:val="0"/>
          <w:sz w:val="32"/>
          <w:szCs w:val="32"/>
        </w:rPr>
        <w:t xml:space="preserve"> </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lang w:val="en-US" w:eastAsia="zh-CN"/>
        </w:rPr>
        <w:t>2</w:t>
      </w:r>
      <w:r>
        <w:rPr>
          <w:rFonts w:hint="eastAsia" w:ascii="仿宋_GB2312" w:hAnsi="仿宋_GB2312" w:eastAsia="仿宋_GB2312"/>
          <w:kern w:val="0"/>
          <w:sz w:val="32"/>
          <w:szCs w:val="32"/>
          <w:lang w:eastAsia="zh-CN"/>
        </w:rPr>
        <w:t>）</w:t>
      </w:r>
      <w:r>
        <w:rPr>
          <w:rFonts w:hint="eastAsia" w:ascii="仿宋_GB2312" w:hAnsi="仿宋_GB2312" w:eastAsia="仿宋_GB2312"/>
          <w:kern w:val="0"/>
          <w:sz w:val="32"/>
          <w:szCs w:val="32"/>
        </w:rPr>
        <w:t>将整体支出后的实际状况与整体申报的绩效目标进行对比分析。按实际支出和整体申报绩效目标进行对比分析自评得分98分，所有收入支出均与批复下达相符。</w:t>
      </w: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rPr>
      </w:pPr>
    </w:p>
    <w:p>
      <w:pPr>
        <w:keepNext w:val="0"/>
        <w:keepLines w:val="0"/>
        <w:pageBreakBefore w:val="0"/>
        <w:widowControl w:val="0"/>
        <w:kinsoku/>
        <w:wordWrap/>
        <w:overflowPunct/>
        <w:topLinePunct w:val="0"/>
        <w:bidi w:val="0"/>
        <w:snapToGrid/>
        <w:spacing w:after="157" w:afterLines="50" w:line="240" w:lineRule="auto"/>
        <w:ind w:left="-105" w:leftChars="-50" w:firstLine="643" w:firstLineChars="200"/>
        <w:textAlignment w:val="auto"/>
        <w:rPr>
          <w:rFonts w:hint="eastAsia" w:ascii="仿宋_GB2312" w:hAnsi="仿宋_GB2312" w:eastAsia="仿宋_GB2312"/>
          <w:b/>
          <w:bCs/>
          <w:color w:val="auto"/>
          <w:kern w:val="0"/>
          <w:sz w:val="32"/>
          <w:szCs w:val="32"/>
        </w:rPr>
      </w:pPr>
      <w:r>
        <w:rPr>
          <w:rFonts w:hint="eastAsia" w:ascii="仿宋_GB2312" w:hAnsi="仿宋_GB2312" w:eastAsia="仿宋_GB2312"/>
          <w:b/>
          <w:bCs/>
          <w:color w:val="auto"/>
          <w:kern w:val="0"/>
          <w:sz w:val="32"/>
          <w:szCs w:val="32"/>
          <w:lang w:eastAsia="zh-CN"/>
        </w:rPr>
        <w:drawing>
          <wp:anchor distT="0" distB="0" distL="114300" distR="114300" simplePos="0" relativeHeight="251660288" behindDoc="0" locked="0" layoutInCell="1" allowOverlap="1">
            <wp:simplePos x="0" y="0"/>
            <wp:positionH relativeFrom="column">
              <wp:posOffset>201930</wp:posOffset>
            </wp:positionH>
            <wp:positionV relativeFrom="paragraph">
              <wp:posOffset>347345</wp:posOffset>
            </wp:positionV>
            <wp:extent cx="5391150" cy="6033770"/>
            <wp:effectExtent l="0" t="0" r="0" b="5080"/>
            <wp:wrapNone/>
            <wp:docPr id="2" name="图片 8" descr="14eefc91bdcabf8192cea2b1d8be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14eefc91bdcabf8192cea2b1d8be2b3"/>
                    <pic:cNvPicPr>
                      <a:picLocks noChangeAspect="1"/>
                    </pic:cNvPicPr>
                  </pic:nvPicPr>
                  <pic:blipFill>
                    <a:blip r:embed="rId16"/>
                    <a:stretch>
                      <a:fillRect/>
                    </a:stretch>
                  </pic:blipFill>
                  <pic:spPr>
                    <a:xfrm>
                      <a:off x="0" y="0"/>
                      <a:ext cx="5391150" cy="6033770"/>
                    </a:xfrm>
                    <a:prstGeom prst="rect">
                      <a:avLst/>
                    </a:prstGeom>
                    <a:noFill/>
                    <a:ln>
                      <a:noFill/>
                    </a:ln>
                  </pic:spPr>
                </pic:pic>
              </a:graphicData>
            </a:graphic>
          </wp:anchor>
        </w:drawing>
      </w:r>
      <w:r>
        <w:rPr>
          <w:rFonts w:hint="eastAsia" w:ascii="仿宋_GB2312" w:hAnsi="仿宋_GB2312" w:eastAsia="仿宋_GB2312"/>
          <w:b/>
          <w:bCs/>
          <w:color w:val="auto"/>
          <w:kern w:val="0"/>
          <w:sz w:val="32"/>
          <w:szCs w:val="32"/>
          <w:lang w:eastAsia="zh-CN"/>
        </w:rPr>
        <w:t>《</w:t>
      </w:r>
      <w:r>
        <w:rPr>
          <w:rFonts w:hint="eastAsia" w:ascii="仿宋_GB2312" w:hAnsi="仿宋_GB2312" w:eastAsia="仿宋_GB2312"/>
          <w:b/>
          <w:bCs/>
          <w:color w:val="auto"/>
          <w:kern w:val="0"/>
          <w:sz w:val="32"/>
          <w:szCs w:val="32"/>
          <w:lang w:val="en-US" w:eastAsia="zh-CN"/>
        </w:rPr>
        <w:t>项目绩效自评表</w:t>
      </w:r>
      <w:r>
        <w:rPr>
          <w:rFonts w:hint="eastAsia" w:ascii="仿宋_GB2312" w:hAnsi="仿宋_GB2312" w:eastAsia="仿宋_GB2312"/>
          <w:b/>
          <w:bCs/>
          <w:color w:val="auto"/>
          <w:kern w:val="0"/>
          <w:sz w:val="32"/>
          <w:szCs w:val="32"/>
          <w:lang w:eastAsia="zh-CN"/>
        </w:rPr>
        <w:t>》</w:t>
      </w: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r>
        <w:rPr>
          <w:rFonts w:hint="eastAsia" w:ascii="仿宋_GB2312" w:hAnsi="仿宋_GB2312" w:eastAsia="仿宋_GB2312"/>
          <w:color w:val="auto"/>
          <w:kern w:val="0"/>
          <w:sz w:val="32"/>
          <w:szCs w:val="32"/>
          <w:lang w:eastAsia="zh-CN"/>
        </w:rPr>
        <w:drawing>
          <wp:anchor distT="0" distB="0" distL="114300" distR="114300" simplePos="0" relativeHeight="251661312" behindDoc="0" locked="0" layoutInCell="1" allowOverlap="1">
            <wp:simplePos x="0" y="0"/>
            <wp:positionH relativeFrom="column">
              <wp:posOffset>213995</wp:posOffset>
            </wp:positionH>
            <wp:positionV relativeFrom="paragraph">
              <wp:posOffset>360045</wp:posOffset>
            </wp:positionV>
            <wp:extent cx="5391150" cy="1987550"/>
            <wp:effectExtent l="0" t="0" r="0" b="12700"/>
            <wp:wrapNone/>
            <wp:docPr id="3" name="图片 9" descr="05260a1bb20671657268a26736425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05260a1bb20671657268a26736425ca"/>
                    <pic:cNvPicPr>
                      <a:picLocks noChangeAspect="1"/>
                    </pic:cNvPicPr>
                  </pic:nvPicPr>
                  <pic:blipFill>
                    <a:blip r:embed="rId17"/>
                    <a:stretch>
                      <a:fillRect/>
                    </a:stretch>
                  </pic:blipFill>
                  <pic:spPr>
                    <a:xfrm>
                      <a:off x="0" y="0"/>
                      <a:ext cx="5391150" cy="1987550"/>
                    </a:xfrm>
                    <a:prstGeom prst="rect">
                      <a:avLst/>
                    </a:prstGeom>
                    <a:noFill/>
                    <a:ln>
                      <a:noFill/>
                    </a:ln>
                  </pic:spPr>
                </pic:pic>
              </a:graphicData>
            </a:graphic>
          </wp:anchor>
        </w:drawing>
      </w: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r>
        <w:rPr>
          <w:rFonts w:hint="eastAsia" w:ascii="仿宋_GB2312" w:hAnsi="仿宋_GB2312" w:eastAsia="仿宋_GB2312"/>
          <w:color w:val="auto"/>
          <w:kern w:val="0"/>
          <w:sz w:val="32"/>
          <w:szCs w:val="32"/>
          <w:lang w:eastAsia="zh-CN"/>
        </w:rPr>
        <w:drawing>
          <wp:anchor distT="0" distB="0" distL="114300" distR="114300" simplePos="0" relativeHeight="251662336" behindDoc="0" locked="0" layoutInCell="1" allowOverlap="1">
            <wp:simplePos x="0" y="0"/>
            <wp:positionH relativeFrom="column">
              <wp:posOffset>306705</wp:posOffset>
            </wp:positionH>
            <wp:positionV relativeFrom="paragraph">
              <wp:posOffset>-381000</wp:posOffset>
            </wp:positionV>
            <wp:extent cx="4993005" cy="5765165"/>
            <wp:effectExtent l="0" t="0" r="17145" b="6985"/>
            <wp:wrapNone/>
            <wp:docPr id="4" name="图片 10" descr="1d210c794e5025786556d0d5fa355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descr="1d210c794e5025786556d0d5fa355ed"/>
                    <pic:cNvPicPr>
                      <a:picLocks noChangeAspect="1"/>
                    </pic:cNvPicPr>
                  </pic:nvPicPr>
                  <pic:blipFill>
                    <a:blip r:embed="rId18"/>
                    <a:stretch>
                      <a:fillRect/>
                    </a:stretch>
                  </pic:blipFill>
                  <pic:spPr>
                    <a:xfrm>
                      <a:off x="0" y="0"/>
                      <a:ext cx="4993005" cy="5765165"/>
                    </a:xfrm>
                    <a:prstGeom prst="rect">
                      <a:avLst/>
                    </a:prstGeom>
                    <a:noFill/>
                    <a:ln>
                      <a:noFill/>
                    </a:ln>
                  </pic:spPr>
                </pic:pic>
              </a:graphicData>
            </a:graphic>
          </wp:anchor>
        </w:drawing>
      </w: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r>
        <w:rPr>
          <w:rFonts w:hint="eastAsia" w:ascii="仿宋_GB2312" w:hAnsi="仿宋_GB2312" w:eastAsia="仿宋_GB2312"/>
          <w:color w:val="auto"/>
          <w:kern w:val="0"/>
          <w:sz w:val="32"/>
          <w:szCs w:val="32"/>
          <w:lang w:eastAsia="zh-CN"/>
        </w:rPr>
        <w:drawing>
          <wp:anchor distT="0" distB="0" distL="114300" distR="114300" simplePos="0" relativeHeight="251663360" behindDoc="0" locked="0" layoutInCell="1" allowOverlap="1">
            <wp:simplePos x="0" y="0"/>
            <wp:positionH relativeFrom="column">
              <wp:posOffset>307340</wp:posOffset>
            </wp:positionH>
            <wp:positionV relativeFrom="paragraph">
              <wp:posOffset>377190</wp:posOffset>
            </wp:positionV>
            <wp:extent cx="4989195" cy="3020060"/>
            <wp:effectExtent l="0" t="0" r="1905" b="8890"/>
            <wp:wrapNone/>
            <wp:docPr id="5" name="图片 11" descr="5b73bd6b27095975dd3b8c474d544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descr="5b73bd6b27095975dd3b8c474d544c7"/>
                    <pic:cNvPicPr>
                      <a:picLocks noChangeAspect="1"/>
                    </pic:cNvPicPr>
                  </pic:nvPicPr>
                  <pic:blipFill>
                    <a:blip r:embed="rId19"/>
                    <a:stretch>
                      <a:fillRect/>
                    </a:stretch>
                  </pic:blipFill>
                  <pic:spPr>
                    <a:xfrm>
                      <a:off x="0" y="0"/>
                      <a:ext cx="4989195" cy="3020060"/>
                    </a:xfrm>
                    <a:prstGeom prst="rect">
                      <a:avLst/>
                    </a:prstGeom>
                    <a:noFill/>
                    <a:ln>
                      <a:noFill/>
                    </a:ln>
                  </pic:spPr>
                </pic:pic>
              </a:graphicData>
            </a:graphic>
          </wp:anchor>
        </w:drawing>
      </w: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keepNext w:val="0"/>
        <w:keepLines w:val="0"/>
        <w:pageBreakBefore w:val="0"/>
        <w:widowControl w:val="0"/>
        <w:kinsoku/>
        <w:wordWrap/>
        <w:overflowPunct/>
        <w:topLinePunct w:val="0"/>
        <w:bidi w:val="0"/>
        <w:snapToGrid/>
        <w:spacing w:after="157" w:afterLines="50" w:line="240" w:lineRule="auto"/>
        <w:ind w:left="-105" w:leftChars="-50" w:firstLine="640" w:firstLineChars="200"/>
        <w:textAlignment w:val="auto"/>
        <w:rPr>
          <w:rFonts w:hint="eastAsia" w:ascii="仿宋_GB2312" w:hAnsi="仿宋_GB2312" w:eastAsia="仿宋_GB2312"/>
          <w:color w:val="auto"/>
          <w:kern w:val="0"/>
          <w:sz w:val="32"/>
          <w:szCs w:val="32"/>
          <w:lang w:eastAsia="zh-CN"/>
        </w:rPr>
      </w:pPr>
    </w:p>
    <w:p>
      <w:pPr>
        <w:autoSpaceDE w:val="0"/>
        <w:autoSpaceDN w:val="0"/>
        <w:adjustRightInd w:val="0"/>
        <w:spacing w:line="60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（三）部门评价项目绩效评价情况。</w:t>
      </w:r>
    </w:p>
    <w:p>
      <w:pPr>
        <w:autoSpaceDE w:val="0"/>
        <w:autoSpaceDN w:val="0"/>
        <w:adjustRightInd w:val="0"/>
        <w:spacing w:line="600" w:lineRule="exact"/>
        <w:ind w:firstLine="640" w:firstLineChars="200"/>
        <w:rPr>
          <w:rFonts w:hint="eastAsia" w:ascii="仿宋_GB2312" w:hAnsi="仿宋_GB2312" w:eastAsia="仿宋_GB2312" w:cs="仿宋_GB2312"/>
          <w:b/>
          <w:bCs/>
          <w:color w:val="auto"/>
          <w:kern w:val="0"/>
          <w:sz w:val="32"/>
          <w:szCs w:val="32"/>
        </w:rPr>
      </w:pPr>
      <w:r>
        <w:rPr>
          <w:rFonts w:hint="eastAsia" w:ascii="楷体_GB2312" w:hAnsi="楷体_GB2312" w:eastAsia="楷体_GB2312" w:cs="楷体_GB2312"/>
          <w:kern w:val="0"/>
          <w:sz w:val="32"/>
          <w:szCs w:val="32"/>
        </w:rPr>
        <w:t>（三）部门评价项目绩效评价情况。</w:t>
      </w:r>
    </w:p>
    <w:p>
      <w:pPr>
        <w:autoSpaceDE w:val="0"/>
        <w:autoSpaceDN w:val="0"/>
        <w:adjustRightInd w:val="0"/>
        <w:spacing w:line="57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本部门公开“</w:t>
      </w:r>
      <w:r>
        <w:rPr>
          <w:rFonts w:hint="eastAsia" w:ascii="仿宋_GB2312" w:hAnsi="仿宋_GB2312" w:eastAsia="仿宋_GB2312" w:cs="仿宋_GB2312"/>
          <w:b/>
          <w:bCs/>
          <w:color w:val="auto"/>
          <w:kern w:val="0"/>
          <w:sz w:val="32"/>
          <w:szCs w:val="32"/>
          <w:lang w:val="en-US" w:eastAsia="zh-CN"/>
        </w:rPr>
        <w:t>查三无工作经费</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color w:val="auto"/>
          <w:kern w:val="0"/>
          <w:sz w:val="32"/>
          <w:szCs w:val="32"/>
          <w:lang w:val="en-US" w:eastAsia="zh-CN"/>
        </w:rPr>
        <w:t>质量强市工作经费</w:t>
      </w:r>
      <w:r>
        <w:rPr>
          <w:rFonts w:hint="eastAsia" w:ascii="仿宋_GB2312" w:hAnsi="仿宋_GB2312" w:eastAsia="仿宋_GB2312" w:cs="仿宋_GB2312"/>
          <w:b/>
          <w:bCs/>
          <w:color w:val="auto"/>
          <w:kern w:val="0"/>
          <w:sz w:val="32"/>
          <w:szCs w:val="32"/>
        </w:rPr>
        <w:t>”项目部门评价报告（见附件）。</w:t>
      </w:r>
    </w:p>
    <w:p>
      <w:pPr>
        <w:autoSpaceDE w:val="0"/>
        <w:autoSpaceDN w:val="0"/>
        <w:adjustRightInd w:val="0"/>
        <w:spacing w:line="570" w:lineRule="exact"/>
        <w:ind w:firstLine="643" w:firstLineChars="200"/>
        <w:rPr>
          <w:rFonts w:hint="eastAsia" w:ascii="仿宋_GB2312" w:hAnsi="仿宋_GB2312" w:eastAsia="仿宋_GB2312" w:cs="仿宋_GB2312"/>
          <w:b/>
          <w:bCs/>
          <w:color w:val="FF000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2200" w:firstLine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一、财政拨款收入：指同级财政当年拨付的资金。</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二、上级补助收入：指事业单位从主管部门和上级单位取得的非财政补助收入。</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三、事业收入：指事业单位开展专业业务活动及其辅助活动所取得的收入。</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四、经营收入：指事业单位在专业业务活动及其辅助活动之外开展非独立核算经营活动取得的收入。</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五、附属单位缴款：指事业单位附属的独立核算单位按有关规定上缴的收入。</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六、其他收入：指除上述“财政拨款收入”“事业收入”“经营收入”“附属单位缴款”等之外取得的收入。</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七、使用非财政拨款结余：指事业单位使用以前年度积累的非财政拨款结余弥补当年收支差额的金额。</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八、年初结转和结余：指单位以前年度尚未完成、结转到本年仍按原规定用途继续使用的资金，或项目已完成等产生的结余资金。</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九、结余分配：指事业单位按照会计制度规定缴纳的所得税、提取的专用结余以及转入非财政拨款结余的金额等。</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十一、基本支出：指为保障机构正常运转、完成日常工作任务而发生的人员支出和公用支出。</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十二、项目支出：指在基本支出之外为完成特定行政任务和事业发展目标所发生的支出。</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十三、经营支出：指事业单位在专业业务活动及其辅助活动之外开展非独立核算经营活动发生的支出。</w:t>
      </w:r>
    </w:p>
    <w:p>
      <w:pPr>
        <w:pStyle w:val="13"/>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十四、对附属单位补助支出：指事业单位发生的用非财政预算资金对附属单位的补助支出。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b w:val="0"/>
          <w:bCs w:val="0"/>
          <w:color w:val="auto"/>
          <w:kern w:val="0"/>
          <w:sz w:val="32"/>
          <w:szCs w:val="32"/>
        </w:rPr>
      </w:pPr>
      <w:r>
        <w:rPr>
          <w:rFonts w:hint="eastAsia" w:ascii="仿宋_GB2312" w:hAnsi="仿宋_GB2312" w:eastAsia="仿宋_GB2312"/>
          <w:b w:val="0"/>
          <w:bCs w:val="0"/>
          <w:color w:val="auto"/>
          <w:kern w:val="0"/>
          <w:sz w:val="32"/>
          <w:szCs w:val="32"/>
          <w:lang w:val="en-US" w:eastAsia="zh-CN"/>
        </w:rPr>
        <w:t>十五、</w:t>
      </w:r>
      <w:r>
        <w:rPr>
          <w:rFonts w:hint="eastAsia" w:ascii="仿宋_GB2312" w:hAnsi="仿宋_GB2312" w:eastAsia="仿宋_GB2312"/>
          <w:b w:val="0"/>
          <w:bCs w:val="0"/>
          <w:color w:val="auto"/>
          <w:kern w:val="0"/>
          <w:sz w:val="32"/>
          <w:szCs w:val="32"/>
        </w:rPr>
        <w:t>“三公”经费支出：指用财政拨款安排的因公出国（境）费、公务用车购置及运行维护费和公务接待费。其中，因公出国（境）费反映</w:t>
      </w:r>
      <w:r>
        <w:rPr>
          <w:rFonts w:hint="eastAsia" w:ascii="仿宋_GB2312" w:hAnsi="仿宋_GB2312" w:eastAsia="仿宋_GB2312"/>
          <w:b w:val="0"/>
          <w:bCs w:val="0"/>
          <w:color w:val="auto"/>
          <w:kern w:val="0"/>
          <w:sz w:val="32"/>
          <w:szCs w:val="32"/>
          <w:lang w:eastAsia="zh-CN"/>
        </w:rPr>
        <w:t>部门</w:t>
      </w:r>
      <w:r>
        <w:rPr>
          <w:rFonts w:hint="eastAsia" w:ascii="仿宋_GB2312" w:hAnsi="仿宋_GB2312" w:eastAsia="仿宋_GB2312"/>
          <w:b w:val="0"/>
          <w:bCs w:val="0"/>
          <w:color w:val="auto"/>
          <w:kern w:val="0"/>
          <w:sz w:val="32"/>
          <w:szCs w:val="32"/>
        </w:rPr>
        <w:t>公务出国（境）的国际旅费、国外城市间交通费、住宿费、伙食费、培训费、公杂费等支出；公务用车购置及运行维护费反映</w:t>
      </w:r>
      <w:r>
        <w:rPr>
          <w:rFonts w:hint="eastAsia" w:ascii="仿宋_GB2312" w:hAnsi="仿宋_GB2312" w:eastAsia="仿宋_GB2312"/>
          <w:b w:val="0"/>
          <w:bCs w:val="0"/>
          <w:color w:val="auto"/>
          <w:kern w:val="0"/>
          <w:sz w:val="32"/>
          <w:szCs w:val="32"/>
          <w:lang w:eastAsia="zh-CN"/>
        </w:rPr>
        <w:t>部门</w:t>
      </w:r>
      <w:r>
        <w:rPr>
          <w:rFonts w:hint="eastAsia" w:ascii="仿宋_GB2312" w:hAnsi="仿宋_GB2312" w:eastAsia="仿宋_GB2312"/>
          <w:b w:val="0"/>
          <w:bCs w:val="0"/>
          <w:color w:val="auto"/>
          <w:kern w:val="0"/>
          <w:sz w:val="32"/>
          <w:szCs w:val="32"/>
        </w:rPr>
        <w:t>公务用车车辆购置支出（含车辆购置税、牌照费），按规定保留的公务用车燃料费、维修费、过桥过路费、保险费、安全奖励费用等支出；公务接待费反映</w:t>
      </w:r>
      <w:r>
        <w:rPr>
          <w:rFonts w:hint="eastAsia" w:ascii="仿宋_GB2312" w:hAnsi="仿宋_GB2312" w:eastAsia="仿宋_GB2312"/>
          <w:b w:val="0"/>
          <w:bCs w:val="0"/>
          <w:color w:val="auto"/>
          <w:kern w:val="0"/>
          <w:sz w:val="32"/>
          <w:szCs w:val="32"/>
          <w:lang w:eastAsia="zh-CN"/>
        </w:rPr>
        <w:t>部门</w:t>
      </w:r>
      <w:r>
        <w:rPr>
          <w:rFonts w:hint="eastAsia" w:ascii="仿宋_GB2312" w:hAnsi="仿宋_GB2312" w:eastAsia="仿宋_GB2312"/>
          <w:b w:val="0"/>
          <w:bCs w:val="0"/>
          <w:color w:val="auto"/>
          <w:kern w:val="0"/>
          <w:sz w:val="32"/>
          <w:szCs w:val="32"/>
        </w:rPr>
        <w:t>按规定开支的各类公务接待（含外宾接待）支出。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b w:val="0"/>
          <w:bCs w:val="0"/>
          <w:color w:val="auto"/>
          <w:kern w:val="0"/>
          <w:sz w:val="32"/>
          <w:szCs w:val="32"/>
        </w:rPr>
      </w:pPr>
      <w:r>
        <w:rPr>
          <w:rFonts w:hint="eastAsia" w:ascii="仿宋_GB2312" w:hAnsi="仿宋_GB2312" w:eastAsia="仿宋_GB2312"/>
          <w:b w:val="0"/>
          <w:bCs w:val="0"/>
          <w:color w:val="auto"/>
          <w:kern w:val="0"/>
          <w:sz w:val="32"/>
          <w:szCs w:val="32"/>
          <w:lang w:val="en-US" w:eastAsia="zh-CN"/>
        </w:rPr>
        <w:t>十六、</w:t>
      </w:r>
      <w:r>
        <w:rPr>
          <w:rFonts w:hint="eastAsia" w:ascii="仿宋_GB2312" w:hAnsi="仿宋_GB2312" w:eastAsia="仿宋_GB2312"/>
          <w:b w:val="0"/>
          <w:bCs w:val="0"/>
          <w:color w:val="auto"/>
          <w:kern w:val="0"/>
          <w:sz w:val="32"/>
          <w:szCs w:val="32"/>
        </w:rPr>
        <w:t>机关运行经费支出：指用财政拨款安排的为保障行政</w:t>
      </w:r>
      <w:r>
        <w:rPr>
          <w:rFonts w:hint="eastAsia" w:ascii="仿宋_GB2312" w:hAnsi="仿宋_GB2312" w:eastAsia="仿宋_GB2312"/>
          <w:b w:val="0"/>
          <w:bCs w:val="0"/>
          <w:color w:val="auto"/>
          <w:kern w:val="0"/>
          <w:sz w:val="32"/>
          <w:szCs w:val="32"/>
          <w:lang w:eastAsia="zh-CN"/>
        </w:rPr>
        <w:t>部门</w:t>
      </w:r>
      <w:r>
        <w:rPr>
          <w:rFonts w:hint="eastAsia" w:ascii="仿宋_GB2312" w:hAnsi="仿宋_GB2312" w:eastAsia="仿宋_GB2312"/>
          <w:b w:val="0"/>
          <w:bCs w:val="0"/>
          <w:color w:val="auto"/>
          <w:kern w:val="0"/>
          <w:sz w:val="32"/>
          <w:szCs w:val="32"/>
        </w:rPr>
        <w:t>（包括参照公务员法管理的事业</w:t>
      </w:r>
      <w:r>
        <w:rPr>
          <w:rFonts w:hint="eastAsia" w:ascii="仿宋_GB2312" w:hAnsi="仿宋_GB2312" w:eastAsia="仿宋_GB2312"/>
          <w:b w:val="0"/>
          <w:bCs w:val="0"/>
          <w:color w:val="auto"/>
          <w:kern w:val="0"/>
          <w:sz w:val="32"/>
          <w:szCs w:val="32"/>
          <w:lang w:eastAsia="zh-CN"/>
        </w:rPr>
        <w:t>部门</w:t>
      </w:r>
      <w:r>
        <w:rPr>
          <w:rFonts w:hint="eastAsia" w:ascii="仿宋_GB2312" w:hAnsi="仿宋_GB2312" w:eastAsia="仿宋_GB2312"/>
          <w:b w:val="0"/>
          <w:bCs w:val="0"/>
          <w:color w:val="auto"/>
          <w:kern w:val="0"/>
          <w:sz w:val="32"/>
          <w:szCs w:val="32"/>
        </w:rPr>
        <w:t>）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70" w:lineRule="exact"/>
        <w:ind w:firstLine="640" w:firstLineChars="200"/>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spacing w:line="600" w:lineRule="exact"/>
        <w:rPr>
          <w:rFonts w:hint="eastAsia" w:ascii="仿宋_GB2312" w:hAnsi="仿宋_GB2312" w:eastAsia="仿宋_GB2312"/>
          <w:kern w:val="0"/>
          <w:sz w:val="32"/>
          <w:szCs w:val="32"/>
        </w:rPr>
      </w:pPr>
    </w:p>
    <w:p>
      <w:pPr>
        <w:numPr>
          <w:ilvl w:val="0"/>
          <w:numId w:val="3"/>
        </w:num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附    件</w:t>
      </w:r>
    </w:p>
    <w:p>
      <w:pPr>
        <w:spacing w:line="570" w:lineRule="exact"/>
        <w:ind w:firstLine="643" w:firstLineChars="200"/>
        <w:rPr>
          <w:rFonts w:hint="eastAsia" w:ascii="仿宋_GB2312" w:hAnsi="仿宋_GB2312" w:eastAsia="仿宋_GB2312" w:cs="Times New Roman"/>
          <w:b/>
          <w:bCs/>
          <w:kern w:val="0"/>
          <w:sz w:val="32"/>
          <w:szCs w:val="32"/>
          <w:lang w:val="en-US" w:eastAsia="zh-CN"/>
        </w:rPr>
      </w:pPr>
      <w:r>
        <w:rPr>
          <w:rFonts w:hint="eastAsia" w:ascii="仿宋_GB2312" w:hAnsi="仿宋_GB2312" w:eastAsia="仿宋_GB2312" w:cs="Times New Roman"/>
          <w:b/>
          <w:bCs/>
          <w:kern w:val="0"/>
          <w:sz w:val="32"/>
          <w:szCs w:val="32"/>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b/>
          <w:bCs/>
          <w:i w:val="0"/>
          <w:iCs w:val="0"/>
          <w:caps w:val="0"/>
          <w:color w:val="000000"/>
          <w:spacing w:val="0"/>
          <w:kern w:val="0"/>
          <w:sz w:val="40"/>
          <w:szCs w:val="40"/>
          <w:shd w:val="clear" w:color="auto" w:fill="FFFFFF"/>
          <w:lang w:val="en-US" w:eastAsia="zh-CN" w:bidi="ar"/>
        </w:rPr>
      </w:pPr>
      <w:r>
        <w:rPr>
          <w:rFonts w:hint="eastAsia" w:ascii="仿宋" w:hAnsi="仿宋" w:eastAsia="仿宋" w:cs="仿宋"/>
          <w:b/>
          <w:bCs/>
          <w:i w:val="0"/>
          <w:iCs w:val="0"/>
          <w:caps w:val="0"/>
          <w:color w:val="000000"/>
          <w:spacing w:val="0"/>
          <w:sz w:val="44"/>
          <w:szCs w:val="44"/>
          <w:shd w:val="clear" w:color="auto" w:fill="FFFFFF"/>
          <w:lang w:val="en-US" w:eastAsia="zh-CN"/>
        </w:rPr>
        <w:t xml:space="preserve"> </w:t>
      </w:r>
      <w:r>
        <w:rPr>
          <w:rFonts w:hint="eastAsia" w:ascii="仿宋" w:hAnsi="仿宋" w:eastAsia="仿宋" w:cs="仿宋"/>
          <w:b/>
          <w:bCs/>
          <w:i w:val="0"/>
          <w:iCs w:val="0"/>
          <w:caps w:val="0"/>
          <w:color w:val="000000"/>
          <w:spacing w:val="0"/>
          <w:sz w:val="40"/>
          <w:szCs w:val="40"/>
          <w:shd w:val="clear" w:color="auto" w:fill="FFFFFF"/>
          <w:lang w:eastAsia="zh-CN"/>
        </w:rPr>
        <w:t>兴国县</w:t>
      </w:r>
      <w:r>
        <w:rPr>
          <w:rFonts w:ascii="仿宋" w:hAnsi="仿宋" w:eastAsia="仿宋" w:cs="仿宋"/>
          <w:b/>
          <w:bCs/>
          <w:i w:val="0"/>
          <w:iCs w:val="0"/>
          <w:caps w:val="0"/>
          <w:color w:val="000000"/>
          <w:spacing w:val="0"/>
          <w:sz w:val="40"/>
          <w:szCs w:val="40"/>
          <w:shd w:val="clear" w:color="auto" w:fill="FFFFFF"/>
        </w:rPr>
        <w:t>市场监督管理局</w:t>
      </w:r>
      <w:r>
        <w:rPr>
          <w:rFonts w:hint="eastAsia" w:ascii="仿宋" w:hAnsi="仿宋" w:eastAsia="仿宋" w:cs="仿宋"/>
          <w:b/>
          <w:bCs/>
          <w:i w:val="0"/>
          <w:iCs w:val="0"/>
          <w:caps w:val="0"/>
          <w:color w:val="000000"/>
          <w:spacing w:val="0"/>
          <w:kern w:val="0"/>
          <w:sz w:val="40"/>
          <w:szCs w:val="40"/>
          <w:shd w:val="clear" w:color="auto" w:fill="FFFFFF"/>
          <w:lang w:val="en-US" w:eastAsia="zh-CN" w:bidi="ar"/>
        </w:rPr>
        <w:t>2022年度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_GB2312" w:hAnsi="仿宋_GB2312" w:eastAsia="仿宋_GB2312" w:cs="Times New Roman"/>
          <w:kern w:val="0"/>
          <w:sz w:val="32"/>
          <w:szCs w:val="32"/>
          <w:lang w:val="en-US" w:eastAsia="zh-CN"/>
        </w:rPr>
      </w:pPr>
      <w:r>
        <w:rPr>
          <w:rFonts w:hint="eastAsia" w:ascii="仿宋" w:hAnsi="仿宋" w:eastAsia="仿宋" w:cs="仿宋"/>
          <w:b/>
          <w:bCs/>
          <w:i w:val="0"/>
          <w:iCs w:val="0"/>
          <w:caps w:val="0"/>
          <w:color w:val="000000"/>
          <w:spacing w:val="0"/>
          <w:kern w:val="0"/>
          <w:sz w:val="40"/>
          <w:szCs w:val="40"/>
          <w:shd w:val="clear" w:color="auto" w:fill="FFFFFF"/>
          <w:lang w:val="en-US" w:eastAsia="zh-CN" w:bidi="ar"/>
        </w:rPr>
        <w:t>查“三无”项目支出绩效评价报告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（一）项目基本情况简介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rightChars="0" w:firstLine="600" w:firstLineChars="200"/>
        <w:jc w:val="left"/>
        <w:textAlignment w:val="auto"/>
        <w:rPr>
          <w:rFonts w:hint="default" w:ascii="仿宋" w:hAnsi="仿宋" w:eastAsia="仿宋" w:cs="仿宋"/>
          <w:i w:val="0"/>
          <w:iCs w:val="0"/>
          <w:caps w:val="0"/>
          <w:color w:val="333333"/>
          <w:spacing w:val="0"/>
          <w:sz w:val="30"/>
          <w:szCs w:val="30"/>
          <w:lang w:val="en-US"/>
        </w:rPr>
      </w:pPr>
      <w:r>
        <w:rPr>
          <w:rFonts w:hint="eastAsia" w:ascii="仿宋" w:hAnsi="仿宋" w:eastAsia="仿宋" w:cs="仿宋"/>
          <w:i w:val="0"/>
          <w:iCs w:val="0"/>
          <w:caps w:val="0"/>
          <w:color w:val="333333"/>
          <w:spacing w:val="0"/>
          <w:kern w:val="0"/>
          <w:sz w:val="30"/>
          <w:szCs w:val="30"/>
          <w:shd w:val="clear" w:color="auto" w:fill="FFFFFF"/>
          <w:lang w:val="en-US" w:eastAsia="zh-CN" w:bidi="ar"/>
        </w:rPr>
        <w:t>查“三无”工作经费主要用于查处无证无照行为，维护市场秩序，营造良好的市场氛围。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（二）绩效目标设定及指标完成情况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2022年度我局归集市场主体信用信息2060条，联合其他部门对38户企业的公司法人、企业负责人进行了评价，联合惩戒10户，移出异常经营名录52户，信用修复2户，引导企业信用承诺545条，企业年报公示率达90.67%，企业主体信用意识明显增强。组织开展“守合同重信用公示部门”推荐活动，3家企业获评江西省“守合同重信用公示部门”，3家企业获评赣州市 “守合同重信用公示部门”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二、绩效评价工作情况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color="auto" w:fill="FFFFFF"/>
        </w:rPr>
        <w:t>   （一）绩效评价目的</w:t>
      </w:r>
      <w:r>
        <w:rPr>
          <w:rFonts w:hint="eastAsia" w:ascii="仿宋" w:hAnsi="仿宋" w:eastAsia="仿宋" w:cs="仿宋"/>
          <w:i w:val="0"/>
          <w:iCs w:val="0"/>
          <w:caps w:val="0"/>
          <w:color w:val="333333"/>
          <w:spacing w:val="0"/>
          <w:sz w:val="30"/>
          <w:szCs w:val="30"/>
          <w:shd w:val="clear" w:color="auto" w:fill="FFFFFF"/>
        </w:rPr>
        <w:t>：通过对</w:t>
      </w:r>
      <w:r>
        <w:rPr>
          <w:rFonts w:hint="eastAsia" w:ascii="仿宋" w:hAnsi="仿宋" w:eastAsia="仿宋" w:cs="仿宋"/>
          <w:i w:val="0"/>
          <w:iCs w:val="0"/>
          <w:caps w:val="0"/>
          <w:color w:val="333333"/>
          <w:spacing w:val="0"/>
          <w:kern w:val="0"/>
          <w:sz w:val="30"/>
          <w:szCs w:val="30"/>
          <w:shd w:val="clear" w:color="auto" w:fill="FFFFFF"/>
          <w:lang w:val="en-US" w:eastAsia="zh-CN" w:bidi="ar"/>
        </w:rPr>
        <w:t>查“三无”工作经费</w:t>
      </w:r>
      <w:r>
        <w:rPr>
          <w:rFonts w:hint="eastAsia" w:ascii="仿宋" w:hAnsi="仿宋" w:eastAsia="仿宋" w:cs="仿宋"/>
          <w:i w:val="0"/>
          <w:iCs w:val="0"/>
          <w:caps w:val="0"/>
          <w:color w:val="333333"/>
          <w:spacing w:val="0"/>
          <w:sz w:val="30"/>
          <w:szCs w:val="30"/>
          <w:shd w:val="clear" w:color="auto" w:fill="FFFFFF"/>
        </w:rPr>
        <w:t>项目专项资金的绩效评价，了解</w:t>
      </w:r>
      <w:r>
        <w:rPr>
          <w:rFonts w:hint="eastAsia" w:ascii="仿宋" w:hAnsi="仿宋" w:eastAsia="仿宋" w:cs="仿宋"/>
          <w:i w:val="0"/>
          <w:iCs w:val="0"/>
          <w:caps w:val="0"/>
          <w:color w:val="333333"/>
          <w:spacing w:val="0"/>
          <w:kern w:val="0"/>
          <w:sz w:val="30"/>
          <w:szCs w:val="30"/>
          <w:shd w:val="clear" w:color="auto" w:fill="FFFFFF"/>
          <w:lang w:val="en-US" w:eastAsia="zh-CN" w:bidi="ar"/>
        </w:rPr>
        <w:t>查“三无”工作经费</w:t>
      </w:r>
      <w:r>
        <w:rPr>
          <w:rFonts w:hint="eastAsia" w:ascii="仿宋" w:hAnsi="仿宋" w:eastAsia="仿宋" w:cs="仿宋"/>
          <w:i w:val="0"/>
          <w:iCs w:val="0"/>
          <w:caps w:val="0"/>
          <w:color w:val="333333"/>
          <w:spacing w:val="0"/>
          <w:sz w:val="30"/>
          <w:szCs w:val="30"/>
          <w:shd w:val="clear" w:color="auto" w:fill="FFFFFF"/>
        </w:rPr>
        <w:t>项目的资金来源、使用和管理情况、项目组织和实施情况，检验项目投入是否达到预期目标，总结经验，分析问题，强化项目资金管理，进一步提升预算项目资金使用成效。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lang w:val="en-US" w:eastAsia="zh-CN"/>
        </w:rPr>
      </w:pPr>
      <w:r>
        <w:rPr>
          <w:rFonts w:hint="eastAsia" w:ascii="仿宋" w:hAnsi="仿宋" w:eastAsia="仿宋" w:cs="仿宋"/>
          <w:b/>
          <w:bCs/>
          <w:i w:val="0"/>
          <w:iCs w:val="0"/>
          <w:caps w:val="0"/>
          <w:color w:val="333333"/>
          <w:spacing w:val="0"/>
          <w:sz w:val="30"/>
          <w:szCs w:val="30"/>
          <w:shd w:val="clear" w:color="auto" w:fill="FFFFFF"/>
        </w:rPr>
        <w:t>   （二）资金到位情况：</w:t>
      </w:r>
      <w:r>
        <w:rPr>
          <w:rFonts w:hint="eastAsia" w:ascii="仿宋" w:hAnsi="仿宋" w:eastAsia="仿宋" w:cs="仿宋"/>
          <w:i w:val="0"/>
          <w:iCs w:val="0"/>
          <w:caps w:val="0"/>
          <w:color w:val="333333"/>
          <w:spacing w:val="0"/>
          <w:sz w:val="30"/>
          <w:szCs w:val="30"/>
          <w:shd w:val="clear" w:color="auto" w:fill="FFFFFF"/>
          <w:lang w:eastAsia="zh-CN"/>
        </w:rPr>
        <w:t>2022</w:t>
      </w:r>
      <w:r>
        <w:rPr>
          <w:rFonts w:hint="eastAsia" w:ascii="仿宋" w:hAnsi="仿宋" w:eastAsia="仿宋" w:cs="仿宋"/>
          <w:i w:val="0"/>
          <w:iCs w:val="0"/>
          <w:caps w:val="0"/>
          <w:color w:val="333333"/>
          <w:spacing w:val="0"/>
          <w:sz w:val="30"/>
          <w:szCs w:val="30"/>
          <w:shd w:val="clear" w:color="auto" w:fill="FFFFFF"/>
        </w:rPr>
        <w:t>年部门预算专项资金</w:t>
      </w:r>
      <w:r>
        <w:rPr>
          <w:rFonts w:hint="eastAsia" w:ascii="仿宋" w:hAnsi="仿宋" w:eastAsia="仿宋" w:cs="仿宋"/>
          <w:i w:val="0"/>
          <w:iCs w:val="0"/>
          <w:caps w:val="0"/>
          <w:color w:val="333333"/>
          <w:spacing w:val="0"/>
          <w:sz w:val="30"/>
          <w:szCs w:val="30"/>
          <w:shd w:val="clear" w:color="auto" w:fill="FFFFFF"/>
          <w:lang w:val="en-US" w:eastAsia="zh-CN"/>
        </w:rPr>
        <w:t>30万元，</w:t>
      </w:r>
      <w:r>
        <w:rPr>
          <w:rFonts w:hint="eastAsia" w:ascii="仿宋" w:hAnsi="仿宋" w:eastAsia="仿宋" w:cs="仿宋"/>
          <w:i w:val="0"/>
          <w:iCs w:val="0"/>
          <w:caps w:val="0"/>
          <w:color w:val="333333"/>
          <w:spacing w:val="0"/>
          <w:sz w:val="30"/>
          <w:szCs w:val="30"/>
          <w:shd w:val="clear" w:color="auto" w:fill="FFFFFF"/>
        </w:rPr>
        <w:t>实际到位资金</w:t>
      </w:r>
      <w:r>
        <w:rPr>
          <w:rFonts w:hint="eastAsia" w:ascii="仿宋" w:hAnsi="仿宋" w:eastAsia="仿宋" w:cs="仿宋"/>
          <w:i w:val="0"/>
          <w:iCs w:val="0"/>
          <w:caps w:val="0"/>
          <w:color w:val="333333"/>
          <w:spacing w:val="0"/>
          <w:sz w:val="30"/>
          <w:szCs w:val="30"/>
          <w:shd w:val="clear" w:color="auto" w:fill="FFFFFF"/>
          <w:lang w:val="en-US" w:eastAsia="zh-CN"/>
        </w:rPr>
        <w:t>30</w:t>
      </w:r>
      <w:r>
        <w:rPr>
          <w:rFonts w:hint="eastAsia" w:ascii="仿宋" w:hAnsi="仿宋" w:eastAsia="仿宋" w:cs="仿宋"/>
          <w:i w:val="0"/>
          <w:iCs w:val="0"/>
          <w:caps w:val="0"/>
          <w:color w:val="333333"/>
          <w:spacing w:val="0"/>
          <w:sz w:val="30"/>
          <w:szCs w:val="30"/>
          <w:shd w:val="clear" w:color="auto" w:fill="FFFFFF"/>
        </w:rPr>
        <w:t>万元，资金到位率100%。</w:t>
      </w:r>
      <w:r>
        <w:rPr>
          <w:rFonts w:hint="eastAsia" w:ascii="仿宋" w:hAnsi="仿宋" w:eastAsia="仿宋" w:cs="仿宋"/>
          <w:i w:val="0"/>
          <w:iCs w:val="0"/>
          <w:caps w:val="0"/>
          <w:color w:val="333333"/>
          <w:spacing w:val="0"/>
          <w:sz w:val="30"/>
          <w:szCs w:val="30"/>
          <w:shd w:val="clear" w:color="auto" w:fill="FFFFFF"/>
          <w:lang w:val="en-US" w:eastAsia="zh-CN"/>
        </w:rPr>
        <w:t>但由于年末存在县财政对我部门部分已支付的票据未审核及部分发票报销人未及时报销，导致部分专项资金未执行到位存在年末结转的情况，实际执行102.6万元。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color="auto" w:fill="FFFFFF"/>
        </w:rPr>
        <w:t>   （三）资金使用情况：</w:t>
      </w:r>
      <w:r>
        <w:rPr>
          <w:rFonts w:hint="eastAsia" w:ascii="仿宋" w:hAnsi="仿宋" w:eastAsia="仿宋" w:cs="仿宋"/>
          <w:b w:val="0"/>
          <w:bCs w:val="0"/>
          <w:i w:val="0"/>
          <w:iCs w:val="0"/>
          <w:caps w:val="0"/>
          <w:color w:val="333333"/>
          <w:spacing w:val="0"/>
          <w:sz w:val="30"/>
          <w:szCs w:val="30"/>
          <w:shd w:val="clear" w:color="auto" w:fill="FFFFFF"/>
        </w:rPr>
        <w:t>资金支出依据合理，未</w:t>
      </w:r>
      <w:r>
        <w:rPr>
          <w:rFonts w:hint="eastAsia" w:ascii="仿宋" w:hAnsi="仿宋" w:eastAsia="仿宋" w:cs="仿宋"/>
          <w:b w:val="0"/>
          <w:bCs w:val="0"/>
          <w:i w:val="0"/>
          <w:iCs w:val="0"/>
          <w:caps w:val="0"/>
          <w:color w:val="333333"/>
          <w:spacing w:val="0"/>
          <w:sz w:val="30"/>
          <w:szCs w:val="30"/>
          <w:shd w:val="clear" w:color="auto" w:fill="FFFFFF"/>
          <w:lang w:val="en-US" w:eastAsia="zh-CN"/>
        </w:rPr>
        <w:t>出现</w:t>
      </w:r>
      <w:r>
        <w:rPr>
          <w:rFonts w:hint="eastAsia" w:ascii="仿宋" w:hAnsi="仿宋" w:eastAsia="仿宋" w:cs="仿宋"/>
          <w:b w:val="0"/>
          <w:bCs w:val="0"/>
          <w:i w:val="0"/>
          <w:iCs w:val="0"/>
          <w:caps w:val="0"/>
          <w:color w:val="333333"/>
          <w:spacing w:val="0"/>
          <w:sz w:val="30"/>
          <w:szCs w:val="30"/>
          <w:shd w:val="clear" w:color="auto" w:fill="FFFFFF"/>
        </w:rPr>
        <w:t>挤占、挪用资金的情况。项目资金支出与预算的要求相符</w:t>
      </w:r>
      <w:r>
        <w:rPr>
          <w:rFonts w:hint="eastAsia" w:ascii="仿宋" w:hAnsi="仿宋" w:eastAsia="仿宋" w:cs="仿宋"/>
          <w:b w:val="0"/>
          <w:bCs w:val="0"/>
          <w:i w:val="0"/>
          <w:iCs w:val="0"/>
          <w:caps w:val="0"/>
          <w:color w:val="333333"/>
          <w:spacing w:val="0"/>
          <w:sz w:val="30"/>
          <w:szCs w:val="30"/>
          <w:shd w:val="clear" w:color="auto" w:fill="FFFFFF"/>
          <w:lang w:eastAsia="zh-CN"/>
        </w:rPr>
        <w:t>，</w:t>
      </w:r>
      <w:r>
        <w:rPr>
          <w:rFonts w:hint="eastAsia" w:ascii="仿宋" w:hAnsi="仿宋" w:eastAsia="仿宋" w:cs="仿宋"/>
          <w:b w:val="0"/>
          <w:bCs w:val="0"/>
          <w:i w:val="0"/>
          <w:iCs w:val="0"/>
          <w:caps w:val="0"/>
          <w:color w:val="333333"/>
          <w:spacing w:val="0"/>
          <w:sz w:val="30"/>
          <w:szCs w:val="30"/>
          <w:shd w:val="clear" w:color="auto" w:fill="FFFFFF"/>
          <w:lang w:val="en-US" w:eastAsia="zh-CN"/>
        </w:rPr>
        <w:t>保障我部门食品药品安全监管工作正常运行</w:t>
      </w:r>
      <w:r>
        <w:rPr>
          <w:rFonts w:hint="eastAsia" w:ascii="仿宋" w:hAnsi="仿宋" w:eastAsia="仿宋" w:cs="仿宋"/>
          <w:b w:val="0"/>
          <w:bCs w:val="0"/>
          <w:i w:val="0"/>
          <w:iCs w:val="0"/>
          <w:caps w:val="0"/>
          <w:color w:val="333333"/>
          <w:spacing w:val="0"/>
          <w:sz w:val="30"/>
          <w:szCs w:val="30"/>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   （四）项目组织情况分析：</w:t>
      </w:r>
      <w:r>
        <w:rPr>
          <w:rFonts w:hint="eastAsia" w:ascii="仿宋" w:hAnsi="仿宋" w:eastAsia="仿宋" w:cs="仿宋"/>
          <w:i w:val="0"/>
          <w:iCs w:val="0"/>
          <w:caps w:val="0"/>
          <w:color w:val="333333"/>
          <w:spacing w:val="0"/>
          <w:kern w:val="0"/>
          <w:sz w:val="30"/>
          <w:szCs w:val="30"/>
          <w:shd w:val="clear" w:color="auto" w:fill="FFFFFF"/>
          <w:lang w:val="en-US" w:eastAsia="zh-CN" w:bidi="ar"/>
        </w:rPr>
        <w:t>成立了绩效评价小组，对有关文件进行了科学分析研究，制定了绩效评价工作方案。评价小组采用查阅凭证和资料、审计等形式进行考评。根据考评情况，对收集的资料进行整理、汇总分析，并依据前期制定的绩效评价指标体系进行了评分，形成综合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   （五）项目管理情况分析：</w:t>
      </w:r>
      <w:r>
        <w:rPr>
          <w:rFonts w:hint="eastAsia" w:ascii="仿宋" w:hAnsi="仿宋" w:eastAsia="仿宋" w:cs="仿宋"/>
          <w:i w:val="0"/>
          <w:iCs w:val="0"/>
          <w:caps w:val="0"/>
          <w:color w:val="333333"/>
          <w:spacing w:val="0"/>
          <w:kern w:val="0"/>
          <w:sz w:val="30"/>
          <w:szCs w:val="30"/>
          <w:shd w:val="clear" w:color="auto" w:fill="FFFFFF"/>
          <w:lang w:val="en-US" w:eastAsia="zh-CN" w:bidi="ar"/>
        </w:rPr>
        <w:t>在项目资金使用管理上，我们一直按照国家财经法规和内部财务管理制度的规定开支。资金结付有完整的审批程序和手续，严格按照财经制度的有关要求，做到专款专用，部门分管领导对资金的使用进行全程监督，保证资金使用的合规性。资金使用无截留、挤占、挪用、虚列支出等情况。为确保专项顺利实施而制定了制度和措施如《专项资金管理制度》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   三、项目绩效情况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 关于以上项目资金的绩效情况有以下几点：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   1、项目立项依据为兴府办拨款抄字【2015】421号《关于要求拨付“查无”专项经费的请示》。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   2、项目实施进度计划开始时间为2022年1月1日，计划完成时间为2022年12月31日。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rightChars="0" w:firstLine="600" w:firstLineChars="200"/>
        <w:jc w:val="left"/>
        <w:textAlignment w:val="auto"/>
        <w:rPr>
          <w:rFonts w:hint="default" w:ascii="仿宋" w:hAnsi="仿宋" w:eastAsia="仿宋" w:cs="仿宋"/>
          <w:i w:val="0"/>
          <w:iCs w:val="0"/>
          <w:caps w:val="0"/>
          <w:color w:val="333333"/>
          <w:spacing w:val="0"/>
          <w:sz w:val="30"/>
          <w:szCs w:val="30"/>
          <w:lang w:val="en-US"/>
        </w:rPr>
      </w:pPr>
      <w:r>
        <w:rPr>
          <w:rFonts w:hint="eastAsia" w:ascii="仿宋" w:hAnsi="仿宋" w:eastAsia="仿宋" w:cs="仿宋"/>
          <w:i w:val="0"/>
          <w:iCs w:val="0"/>
          <w:caps w:val="0"/>
          <w:color w:val="333333"/>
          <w:spacing w:val="0"/>
          <w:kern w:val="0"/>
          <w:sz w:val="30"/>
          <w:szCs w:val="30"/>
          <w:shd w:val="clear" w:color="auto" w:fill="FFFFFF"/>
          <w:lang w:val="en-US" w:eastAsia="zh-CN" w:bidi="ar"/>
        </w:rPr>
        <w:t>  3、项目长期绩效目标是通过查处无证无照行为，维护市场秩序，营造良好的市场氛围。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 4、项目年度绩效目标主要是查处无证无照经营行为，使市场监管率在本年度达到90%以上；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5、项目年度绩效指标值有提升：从产出的角度来看，以上项目资金涉及的几个大类在数量指标、质量指标、时效指标、成本指标方面，指标值的合格率、检测率一般在95%-99%之间；从效益的角度来看，几个大类涉及的经济效益指标、社会效益指标、生态效益指标、可持续影响指标、满意度指标方面，指标值的利用率、安全性、满意度一般在95%-98%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b/>
          <w:bCs/>
          <w:i w:val="0"/>
          <w:iCs w:val="0"/>
          <w:caps w:val="0"/>
          <w:color w:val="333333"/>
          <w:spacing w:val="0"/>
          <w:kern w:val="0"/>
          <w:sz w:val="30"/>
          <w:szCs w:val="30"/>
          <w:shd w:val="clear" w:color="auto" w:fill="FFFFFF"/>
          <w:lang w:val="en-US" w:eastAsia="zh-CN" w:bidi="ar"/>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b/>
          <w:bCs/>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b/>
          <w:bCs/>
          <w:i w:val="0"/>
          <w:iCs w:val="0"/>
          <w:caps w:val="0"/>
          <w:color w:val="333333"/>
          <w:spacing w:val="0"/>
          <w:kern w:val="0"/>
          <w:sz w:val="30"/>
          <w:szCs w:val="30"/>
          <w:shd w:val="clear" w:color="auto" w:fill="FFFFFF"/>
          <w:lang w:val="en-US" w:eastAsia="zh-CN" w:bidi="ar"/>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四、存在的问题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b w:val="0"/>
          <w:bCs w:val="0"/>
          <w:i w:val="0"/>
          <w:iCs w:val="0"/>
          <w:caps w:val="0"/>
          <w:color w:val="333333"/>
          <w:spacing w:val="0"/>
          <w:kern w:val="0"/>
          <w:sz w:val="30"/>
          <w:szCs w:val="30"/>
          <w:shd w:val="clear" w:color="auto" w:fill="FFFFFF"/>
          <w:lang w:val="en-US" w:eastAsia="zh-CN" w:bidi="ar"/>
        </w:rPr>
      </w:pPr>
      <w:r>
        <w:rPr>
          <w:rFonts w:hint="eastAsia" w:ascii="仿宋" w:hAnsi="仿宋" w:eastAsia="仿宋" w:cs="仿宋"/>
          <w:b w:val="0"/>
          <w:bCs w:val="0"/>
          <w:i w:val="0"/>
          <w:iCs w:val="0"/>
          <w:caps w:val="0"/>
          <w:color w:val="333333"/>
          <w:spacing w:val="0"/>
          <w:kern w:val="0"/>
          <w:sz w:val="30"/>
          <w:szCs w:val="30"/>
          <w:shd w:val="clear" w:color="auto" w:fill="FFFFFF"/>
          <w:lang w:val="en-US" w:eastAsia="zh-CN" w:bidi="ar"/>
        </w:rPr>
        <w:t>因年末县财政资金紧张未能及时拨付，未能保证项目的质量和项目完成的及时性。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   五、其他需要说明的问题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    建议加大资金支持，使得专款专用并及时拨付到位以保证项目的顺利实施。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default" w:ascii="仿宋_GB2312" w:hAnsi="仿宋_GB2312" w:eastAsia="仿宋_GB2312" w:cs="Times New Roman"/>
          <w:kern w:val="0"/>
          <w:sz w:val="32"/>
          <w:szCs w:val="32"/>
          <w:lang w:val="en-US" w:eastAsia="zh-CN"/>
        </w:rPr>
      </w:pPr>
      <w:r>
        <w:rPr>
          <w:rFonts w:hint="eastAsia" w:ascii="仿宋" w:hAnsi="仿宋" w:eastAsia="仿宋" w:cs="仿宋"/>
          <w:i w:val="0"/>
          <w:iCs w:val="0"/>
          <w:caps w:val="0"/>
          <w:color w:val="333333"/>
          <w:spacing w:val="0"/>
          <w:kern w:val="0"/>
          <w:sz w:val="30"/>
          <w:szCs w:val="30"/>
          <w:shd w:val="clear" w:color="auto" w:fill="FFFFFF"/>
          <w:lang w:val="en-US" w:eastAsia="zh-CN" w:bidi="ar"/>
        </w:rPr>
        <w:t xml:space="preserve">              </w:t>
      </w:r>
    </w:p>
    <w:p>
      <w:pPr>
        <w:spacing w:line="570" w:lineRule="exact"/>
        <w:rPr>
          <w:rFonts w:hint="eastAsia" w:ascii="仿宋_GB2312" w:hAnsi="仿宋_GB2312" w:eastAsia="仿宋_GB2312" w:cs="Times New Roman"/>
          <w:b/>
          <w:bCs/>
          <w:kern w:val="0"/>
          <w:sz w:val="32"/>
          <w:szCs w:val="32"/>
          <w:lang w:val="en-US" w:eastAsia="zh-CN"/>
        </w:rPr>
      </w:pPr>
      <w:r>
        <w:rPr>
          <w:rFonts w:hint="eastAsia" w:ascii="仿宋_GB2312" w:hAnsi="仿宋_GB2312" w:eastAsia="仿宋_GB2312" w:cs="Times New Roman"/>
          <w:b/>
          <w:bCs/>
          <w:kern w:val="0"/>
          <w:sz w:val="32"/>
          <w:szCs w:val="32"/>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b/>
          <w:bCs/>
          <w:i w:val="0"/>
          <w:iCs w:val="0"/>
          <w:caps w:val="0"/>
          <w:color w:val="000000"/>
          <w:spacing w:val="0"/>
          <w:kern w:val="0"/>
          <w:sz w:val="40"/>
          <w:szCs w:val="40"/>
          <w:shd w:val="clear" w:color="auto" w:fill="FFFFFF"/>
          <w:lang w:val="en-US" w:eastAsia="zh-CN" w:bidi="ar"/>
        </w:rPr>
      </w:pPr>
      <w:r>
        <w:rPr>
          <w:rFonts w:hint="eastAsia" w:ascii="仿宋" w:hAnsi="仿宋" w:eastAsia="仿宋" w:cs="仿宋"/>
          <w:b/>
          <w:bCs/>
          <w:i w:val="0"/>
          <w:iCs w:val="0"/>
          <w:caps w:val="0"/>
          <w:color w:val="000000"/>
          <w:spacing w:val="0"/>
          <w:sz w:val="40"/>
          <w:szCs w:val="40"/>
          <w:shd w:val="clear" w:color="auto" w:fill="FFFFFF"/>
          <w:lang w:eastAsia="zh-CN"/>
        </w:rPr>
        <w:t>兴国县</w:t>
      </w:r>
      <w:r>
        <w:rPr>
          <w:rFonts w:ascii="仿宋" w:hAnsi="仿宋" w:eastAsia="仿宋" w:cs="仿宋"/>
          <w:b/>
          <w:bCs/>
          <w:i w:val="0"/>
          <w:iCs w:val="0"/>
          <w:caps w:val="0"/>
          <w:color w:val="000000"/>
          <w:spacing w:val="0"/>
          <w:sz w:val="40"/>
          <w:szCs w:val="40"/>
          <w:shd w:val="clear" w:color="auto" w:fill="FFFFFF"/>
        </w:rPr>
        <w:t>市场监督管理局</w:t>
      </w:r>
      <w:r>
        <w:rPr>
          <w:rFonts w:hint="eastAsia" w:ascii="仿宋" w:hAnsi="仿宋" w:eastAsia="仿宋" w:cs="仿宋"/>
          <w:b/>
          <w:bCs/>
          <w:i w:val="0"/>
          <w:iCs w:val="0"/>
          <w:caps w:val="0"/>
          <w:color w:val="000000"/>
          <w:spacing w:val="0"/>
          <w:kern w:val="0"/>
          <w:sz w:val="40"/>
          <w:szCs w:val="40"/>
          <w:shd w:val="clear" w:color="auto" w:fill="FFFFFF"/>
          <w:lang w:val="en-US" w:eastAsia="zh-CN" w:bidi="ar"/>
        </w:rPr>
        <w:t>2022年度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仿宋" w:hAnsi="仿宋" w:eastAsia="仿宋" w:cs="仿宋"/>
          <w:b/>
          <w:bCs/>
          <w:i w:val="0"/>
          <w:iCs w:val="0"/>
          <w:caps w:val="0"/>
          <w:color w:val="000000"/>
          <w:spacing w:val="0"/>
          <w:kern w:val="0"/>
          <w:sz w:val="40"/>
          <w:szCs w:val="40"/>
          <w:shd w:val="clear" w:color="auto" w:fill="FFFFFF"/>
          <w:lang w:val="en-US" w:eastAsia="zh-CN" w:bidi="ar"/>
        </w:rPr>
      </w:pPr>
      <w:r>
        <w:rPr>
          <w:rFonts w:hint="eastAsia" w:ascii="仿宋" w:hAnsi="仿宋" w:eastAsia="仿宋" w:cs="仿宋"/>
          <w:b/>
          <w:bCs/>
          <w:i w:val="0"/>
          <w:iCs w:val="0"/>
          <w:caps w:val="0"/>
          <w:color w:val="000000"/>
          <w:spacing w:val="0"/>
          <w:kern w:val="0"/>
          <w:sz w:val="40"/>
          <w:szCs w:val="40"/>
          <w:shd w:val="clear" w:color="auto" w:fill="FFFFFF"/>
          <w:lang w:val="en-US" w:eastAsia="zh-CN" w:bidi="ar"/>
        </w:rPr>
        <w:t>质量强市工作经费项目支出绩效评价报告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一、项目基本情况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（一）项目基本情况简介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质量强市工作经费项目主要用于政府质量强县、质量发展工作；“质量月”活动开展；县长质量奖评选等。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（二）绩效目标设定及指标完成情况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2022年度我局坚决履行职能职责，有效完成了质量强市工作经费项目年度绩效目标。2022年鼓励指导企业参加市长质量奖和江西省名牌产品申报，组织举办了2021年申报市长质量奖和江西名牌产品业务培训班，共组织4家企业参加市长质量奖申报，国泰特种化工有限公司进入市长质量奖现场评审(全市12家)；2家企业共3个品牌参加江西名牌产品申报，江西省锐兴通讯设备有限公司获2021年全省品牌建设先进企业。组织参加赣州市制造业企业员工质量知识竞赛获二等奖；引导企业开展企业产品和服务标准自我声明公开12个，指导并组织企业开展百城千业万企对标达标提升专项行动，鼓励先进企业参与标准领跑者申报与评价工作，国泰特种化工有限公司成功入围江西省企业标准申报“领跑者”（全市3家），协助完成“四星望月”纳入省级地方标准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二、绩效评价工作情况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color="auto" w:fill="FFFFFF"/>
        </w:rPr>
        <w:t>   （一）绩效评价目的</w:t>
      </w:r>
      <w:r>
        <w:rPr>
          <w:rFonts w:hint="eastAsia" w:ascii="仿宋" w:hAnsi="仿宋" w:eastAsia="仿宋" w:cs="仿宋"/>
          <w:i w:val="0"/>
          <w:iCs w:val="0"/>
          <w:caps w:val="0"/>
          <w:color w:val="333333"/>
          <w:spacing w:val="0"/>
          <w:sz w:val="30"/>
          <w:szCs w:val="30"/>
          <w:shd w:val="clear" w:color="auto" w:fill="FFFFFF"/>
        </w:rPr>
        <w:t>：通过对</w:t>
      </w:r>
      <w:r>
        <w:rPr>
          <w:rFonts w:hint="eastAsia" w:ascii="仿宋" w:hAnsi="仿宋" w:eastAsia="仿宋" w:cs="仿宋"/>
          <w:i w:val="0"/>
          <w:iCs w:val="0"/>
          <w:caps w:val="0"/>
          <w:color w:val="333333"/>
          <w:spacing w:val="0"/>
          <w:sz w:val="30"/>
          <w:szCs w:val="30"/>
          <w:shd w:val="clear" w:color="auto" w:fill="FFFFFF"/>
          <w:lang w:val="en-US" w:eastAsia="zh-CN"/>
        </w:rPr>
        <w:t>质量强市工作经费</w:t>
      </w:r>
      <w:r>
        <w:rPr>
          <w:rFonts w:hint="eastAsia" w:ascii="仿宋" w:hAnsi="仿宋" w:eastAsia="仿宋" w:cs="仿宋"/>
          <w:i w:val="0"/>
          <w:iCs w:val="0"/>
          <w:caps w:val="0"/>
          <w:color w:val="333333"/>
          <w:spacing w:val="0"/>
          <w:sz w:val="30"/>
          <w:szCs w:val="30"/>
          <w:shd w:val="clear" w:color="auto" w:fill="FFFFFF"/>
        </w:rPr>
        <w:t>项目专项资金的绩效评价，了解</w:t>
      </w:r>
      <w:r>
        <w:rPr>
          <w:rFonts w:hint="eastAsia" w:ascii="仿宋" w:hAnsi="仿宋" w:eastAsia="仿宋" w:cs="仿宋"/>
          <w:i w:val="0"/>
          <w:iCs w:val="0"/>
          <w:caps w:val="0"/>
          <w:color w:val="333333"/>
          <w:spacing w:val="0"/>
          <w:sz w:val="30"/>
          <w:szCs w:val="30"/>
          <w:shd w:val="clear" w:color="auto" w:fill="FFFFFF"/>
          <w:lang w:val="en-US" w:eastAsia="zh-CN"/>
        </w:rPr>
        <w:t>质量强市工作经费</w:t>
      </w:r>
      <w:r>
        <w:rPr>
          <w:rFonts w:hint="eastAsia" w:ascii="仿宋" w:hAnsi="仿宋" w:eastAsia="仿宋" w:cs="仿宋"/>
          <w:i w:val="0"/>
          <w:iCs w:val="0"/>
          <w:caps w:val="0"/>
          <w:color w:val="333333"/>
          <w:spacing w:val="0"/>
          <w:sz w:val="30"/>
          <w:szCs w:val="30"/>
          <w:shd w:val="clear" w:color="auto" w:fill="FFFFFF"/>
        </w:rPr>
        <w:t>项目的资金来源、使用和管理情况、项目组织和实施情况，检验项目投入是否达到预期目标，总结经验，分析问题，强化项目资金管理，进一步提升预算项目资金使用成效。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lang w:val="en-US" w:eastAsia="zh-CN"/>
        </w:rPr>
      </w:pPr>
      <w:r>
        <w:rPr>
          <w:rFonts w:hint="eastAsia" w:ascii="仿宋" w:hAnsi="仿宋" w:eastAsia="仿宋" w:cs="仿宋"/>
          <w:b/>
          <w:bCs/>
          <w:i w:val="0"/>
          <w:iCs w:val="0"/>
          <w:caps w:val="0"/>
          <w:color w:val="333333"/>
          <w:spacing w:val="0"/>
          <w:sz w:val="30"/>
          <w:szCs w:val="30"/>
          <w:shd w:val="clear" w:color="auto" w:fill="FFFFFF"/>
        </w:rPr>
        <w:t>   （二）资金到位情况：</w:t>
      </w:r>
      <w:r>
        <w:rPr>
          <w:rFonts w:hint="eastAsia" w:ascii="仿宋" w:hAnsi="仿宋" w:eastAsia="仿宋" w:cs="仿宋"/>
          <w:i w:val="0"/>
          <w:iCs w:val="0"/>
          <w:caps w:val="0"/>
          <w:color w:val="333333"/>
          <w:spacing w:val="0"/>
          <w:sz w:val="30"/>
          <w:szCs w:val="30"/>
          <w:shd w:val="clear" w:color="auto" w:fill="FFFFFF"/>
          <w:lang w:eastAsia="zh-CN"/>
        </w:rPr>
        <w:t>2022</w:t>
      </w:r>
      <w:r>
        <w:rPr>
          <w:rFonts w:hint="eastAsia" w:ascii="仿宋" w:hAnsi="仿宋" w:eastAsia="仿宋" w:cs="仿宋"/>
          <w:i w:val="0"/>
          <w:iCs w:val="0"/>
          <w:caps w:val="0"/>
          <w:color w:val="333333"/>
          <w:spacing w:val="0"/>
          <w:sz w:val="30"/>
          <w:szCs w:val="30"/>
          <w:shd w:val="clear" w:color="auto" w:fill="FFFFFF"/>
        </w:rPr>
        <w:t>年部门预算专项资金共计</w:t>
      </w:r>
      <w:r>
        <w:rPr>
          <w:rFonts w:hint="eastAsia" w:ascii="仿宋" w:hAnsi="仿宋" w:eastAsia="仿宋" w:cs="仿宋"/>
          <w:i w:val="0"/>
          <w:iCs w:val="0"/>
          <w:caps w:val="0"/>
          <w:color w:val="333333"/>
          <w:spacing w:val="0"/>
          <w:sz w:val="30"/>
          <w:szCs w:val="30"/>
          <w:shd w:val="clear" w:color="auto" w:fill="FFFFFF"/>
          <w:lang w:val="en-US" w:eastAsia="zh-CN"/>
        </w:rPr>
        <w:t>50万元，</w:t>
      </w:r>
      <w:r>
        <w:rPr>
          <w:rFonts w:hint="eastAsia" w:ascii="仿宋" w:hAnsi="仿宋" w:eastAsia="仿宋" w:cs="仿宋"/>
          <w:i w:val="0"/>
          <w:iCs w:val="0"/>
          <w:caps w:val="0"/>
          <w:color w:val="333333"/>
          <w:spacing w:val="0"/>
          <w:sz w:val="30"/>
          <w:szCs w:val="30"/>
          <w:shd w:val="clear" w:color="auto" w:fill="FFFFFF"/>
        </w:rPr>
        <w:t>实际到位资金</w:t>
      </w:r>
      <w:r>
        <w:rPr>
          <w:rFonts w:hint="eastAsia" w:ascii="仿宋" w:hAnsi="仿宋" w:eastAsia="仿宋" w:cs="仿宋"/>
          <w:i w:val="0"/>
          <w:iCs w:val="0"/>
          <w:caps w:val="0"/>
          <w:color w:val="333333"/>
          <w:spacing w:val="0"/>
          <w:sz w:val="30"/>
          <w:szCs w:val="30"/>
          <w:shd w:val="clear" w:color="auto" w:fill="FFFFFF"/>
          <w:lang w:val="en-US" w:eastAsia="zh-CN"/>
        </w:rPr>
        <w:t>50</w:t>
      </w:r>
      <w:r>
        <w:rPr>
          <w:rFonts w:hint="eastAsia" w:ascii="仿宋" w:hAnsi="仿宋" w:eastAsia="仿宋" w:cs="仿宋"/>
          <w:i w:val="0"/>
          <w:iCs w:val="0"/>
          <w:caps w:val="0"/>
          <w:color w:val="333333"/>
          <w:spacing w:val="0"/>
          <w:sz w:val="30"/>
          <w:szCs w:val="30"/>
          <w:shd w:val="clear" w:color="auto" w:fill="FFFFFF"/>
        </w:rPr>
        <w:t>万元，资金到位率100%。</w:t>
      </w:r>
      <w:r>
        <w:rPr>
          <w:rFonts w:hint="eastAsia" w:ascii="仿宋" w:hAnsi="仿宋" w:eastAsia="仿宋" w:cs="仿宋"/>
          <w:i w:val="0"/>
          <w:iCs w:val="0"/>
          <w:caps w:val="0"/>
          <w:color w:val="333333"/>
          <w:spacing w:val="0"/>
          <w:sz w:val="30"/>
          <w:szCs w:val="30"/>
          <w:shd w:val="clear" w:color="auto" w:fill="FFFFFF"/>
          <w:lang w:val="en-US" w:eastAsia="zh-CN"/>
        </w:rPr>
        <w:t>但由于年末存在县财政对我部门部分已支付的票据未审核及部分发票报销人未及时报销，导致部分专项资金未执行到位存在年末结转的情况，实际执行40.5万元。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602" w:firstLineChars="200"/>
        <w:jc w:val="both"/>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sz w:val="30"/>
          <w:szCs w:val="30"/>
          <w:shd w:val="clear" w:color="auto" w:fill="FFFFFF"/>
        </w:rPr>
        <w:t>   （三）资金使用情况：</w:t>
      </w:r>
      <w:r>
        <w:rPr>
          <w:rFonts w:hint="eastAsia" w:ascii="仿宋" w:hAnsi="仿宋" w:eastAsia="仿宋" w:cs="仿宋"/>
          <w:b w:val="0"/>
          <w:bCs w:val="0"/>
          <w:i w:val="0"/>
          <w:iCs w:val="0"/>
          <w:caps w:val="0"/>
          <w:color w:val="333333"/>
          <w:spacing w:val="0"/>
          <w:sz w:val="30"/>
          <w:szCs w:val="30"/>
          <w:shd w:val="clear" w:color="auto" w:fill="FFFFFF"/>
        </w:rPr>
        <w:t>资金支出依据合理，未</w:t>
      </w:r>
      <w:r>
        <w:rPr>
          <w:rFonts w:hint="eastAsia" w:ascii="仿宋" w:hAnsi="仿宋" w:eastAsia="仿宋" w:cs="仿宋"/>
          <w:b w:val="0"/>
          <w:bCs w:val="0"/>
          <w:i w:val="0"/>
          <w:iCs w:val="0"/>
          <w:caps w:val="0"/>
          <w:color w:val="333333"/>
          <w:spacing w:val="0"/>
          <w:sz w:val="30"/>
          <w:szCs w:val="30"/>
          <w:shd w:val="clear" w:color="auto" w:fill="FFFFFF"/>
          <w:lang w:val="en-US" w:eastAsia="zh-CN"/>
        </w:rPr>
        <w:t>出现</w:t>
      </w:r>
      <w:r>
        <w:rPr>
          <w:rFonts w:hint="eastAsia" w:ascii="仿宋" w:hAnsi="仿宋" w:eastAsia="仿宋" w:cs="仿宋"/>
          <w:b w:val="0"/>
          <w:bCs w:val="0"/>
          <w:i w:val="0"/>
          <w:iCs w:val="0"/>
          <w:caps w:val="0"/>
          <w:color w:val="333333"/>
          <w:spacing w:val="0"/>
          <w:sz w:val="30"/>
          <w:szCs w:val="30"/>
          <w:shd w:val="clear" w:color="auto" w:fill="FFFFFF"/>
        </w:rPr>
        <w:t>挤占、挪用资金的情况。项目资金支出与预算的要求相符</w:t>
      </w:r>
      <w:r>
        <w:rPr>
          <w:rFonts w:hint="eastAsia" w:ascii="仿宋" w:hAnsi="仿宋" w:eastAsia="仿宋" w:cs="仿宋"/>
          <w:b w:val="0"/>
          <w:bCs w:val="0"/>
          <w:i w:val="0"/>
          <w:iCs w:val="0"/>
          <w:caps w:val="0"/>
          <w:color w:val="333333"/>
          <w:spacing w:val="0"/>
          <w:sz w:val="30"/>
          <w:szCs w:val="30"/>
          <w:shd w:val="clear" w:color="auto" w:fill="FFFFFF"/>
          <w:lang w:eastAsia="zh-CN"/>
        </w:rPr>
        <w:t>，</w:t>
      </w:r>
      <w:r>
        <w:rPr>
          <w:rFonts w:hint="eastAsia" w:ascii="仿宋" w:hAnsi="仿宋" w:eastAsia="仿宋" w:cs="仿宋"/>
          <w:b w:val="0"/>
          <w:bCs w:val="0"/>
          <w:i w:val="0"/>
          <w:iCs w:val="0"/>
          <w:caps w:val="0"/>
          <w:color w:val="333333"/>
          <w:spacing w:val="0"/>
          <w:sz w:val="30"/>
          <w:szCs w:val="30"/>
          <w:shd w:val="clear" w:color="auto" w:fill="FFFFFF"/>
          <w:lang w:val="en-US" w:eastAsia="zh-CN"/>
        </w:rPr>
        <w:t>保障我部门食品药品安全监管工作正常运行</w:t>
      </w:r>
      <w:r>
        <w:rPr>
          <w:rFonts w:hint="eastAsia" w:ascii="仿宋" w:hAnsi="仿宋" w:eastAsia="仿宋" w:cs="仿宋"/>
          <w:b w:val="0"/>
          <w:bCs w:val="0"/>
          <w:i w:val="0"/>
          <w:iCs w:val="0"/>
          <w:caps w:val="0"/>
          <w:color w:val="333333"/>
          <w:spacing w:val="0"/>
          <w:sz w:val="30"/>
          <w:szCs w:val="30"/>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   （四）项目组织情况分析：</w:t>
      </w:r>
      <w:r>
        <w:rPr>
          <w:rFonts w:hint="eastAsia" w:ascii="仿宋" w:hAnsi="仿宋" w:eastAsia="仿宋" w:cs="仿宋"/>
          <w:i w:val="0"/>
          <w:iCs w:val="0"/>
          <w:caps w:val="0"/>
          <w:color w:val="333333"/>
          <w:spacing w:val="0"/>
          <w:kern w:val="0"/>
          <w:sz w:val="30"/>
          <w:szCs w:val="30"/>
          <w:shd w:val="clear" w:color="auto" w:fill="FFFFFF"/>
          <w:lang w:val="en-US" w:eastAsia="zh-CN" w:bidi="ar"/>
        </w:rPr>
        <w:t>绩效评价小组整理项目相关信息，确立绩效评价目的，设计绩效评价指标体系，查阅项目资料；对项目资金使用、管理情况和项目效益情况进行分析，根据结果进行综合评价并提出建议。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   （五）项目管理情况分析：</w:t>
      </w:r>
      <w:r>
        <w:rPr>
          <w:rFonts w:hint="eastAsia" w:ascii="仿宋" w:hAnsi="仿宋" w:eastAsia="仿宋" w:cs="仿宋"/>
          <w:i w:val="0"/>
          <w:iCs w:val="0"/>
          <w:caps w:val="0"/>
          <w:color w:val="333333"/>
          <w:spacing w:val="0"/>
          <w:kern w:val="0"/>
          <w:sz w:val="30"/>
          <w:szCs w:val="30"/>
          <w:shd w:val="clear" w:color="auto" w:fill="FFFFFF"/>
          <w:lang w:val="en-US" w:eastAsia="zh-CN" w:bidi="ar"/>
        </w:rPr>
        <w:t>在项目资金使用管理上，我们一直按照国家财经法规和内部财务管理制度的规定开支。资金结付有完整的审批程序和手续，严格按照财经制度的有关要求，做到专款专用，部门分管领导对资金的使用进行全程监督，保证资金使用的合规性。资金使用无截留、挤占、挪用、虚列支出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   三、项目绩效情况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 关于以上项目资金的绩效情况有以下几点：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   1、项目立项依据为《关于开展质量提升行动加快质量强市建设的实施方案》赣市办发【2019】3号文件。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   2、项目实施进度计划开始时间为2022年1月1日，计划完成时间为2022年12月31日。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   3、项目长期绩效目标是通过将质量发展作为我县发展战略的核心内容，深入实施质量强县战略，全面推进质量强县工作，不断强化质量发展意识，弘扬“千年福寿沟 质量赣州行”的城市质量精神，建设城市质量文化，夯实质量基础保障，强化全面质量管理，开展质量提升行动，建成一批设备先进、技术水平高、公共服务能力强的质量技术基础设施平台，形成一批质量水平高、品牌影响力大、核心竞争力强的优势企业，打造一批品牌形象突出、服务平台完备、质量水平一流的现代企业和产业集群，全面提升发展质量总体水平，提高市民质量满意度，促进质量发展成果全民共享，加快推进全市经济社会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0" w:firstLineChars="200"/>
        <w:jc w:val="left"/>
        <w:textAlignment w:val="auto"/>
        <w:rPr>
          <w:rFonts w:hint="default" w:ascii="仿宋" w:hAnsi="仿宋" w:eastAsia="仿宋" w:cs="仿宋"/>
          <w:i w:val="0"/>
          <w:iCs w:val="0"/>
          <w:caps w:val="0"/>
          <w:color w:val="333333"/>
          <w:spacing w:val="0"/>
          <w:kern w:val="0"/>
          <w:sz w:val="30"/>
          <w:szCs w:val="30"/>
          <w:shd w:val="clear" w:color="auto" w:fill="FFFFFF"/>
          <w:lang w:val="en-US" w:eastAsia="zh-CN" w:bidi="ar"/>
        </w:rPr>
      </w:pPr>
      <w:r>
        <w:rPr>
          <w:rFonts w:hint="eastAsia" w:ascii="仿宋" w:hAnsi="仿宋" w:eastAsia="仿宋" w:cs="仿宋"/>
          <w:i w:val="0"/>
          <w:iCs w:val="0"/>
          <w:caps w:val="0"/>
          <w:color w:val="333333"/>
          <w:spacing w:val="0"/>
          <w:kern w:val="0"/>
          <w:sz w:val="30"/>
          <w:szCs w:val="30"/>
          <w:shd w:val="clear" w:color="auto" w:fill="FFFFFF"/>
          <w:lang w:val="en-US" w:eastAsia="zh-CN" w:bidi="ar"/>
        </w:rPr>
        <w:t> 4、项目年度绩效目标主要是在本年度鼓励指导企业参加市长质量奖和江西省名牌产品申报，开展“质量月”活动。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5、项目年度绩效指标值有提升：从产出的角度来看，以上项目资金涉及的几个大类在数量指标、质量指标、时效指标、成本指标方面，指标值的合格率、检测率一般在95%-99%之间；从效益的角度来看，几个大类涉及的经济效益指标、社会效益指标、生态效益指标、可持续影响指标、满意度指标方面，指标值的利用率、安全性、满意度一般在95%-98%之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b/>
          <w:bCs/>
          <w:i w:val="0"/>
          <w:iCs w:val="0"/>
          <w:caps w:val="0"/>
          <w:color w:val="333333"/>
          <w:spacing w:val="0"/>
          <w:kern w:val="0"/>
          <w:sz w:val="30"/>
          <w:szCs w:val="30"/>
          <w:shd w:val="clear" w:color="auto" w:fill="FFFFFF"/>
          <w:lang w:val="en-US" w:eastAsia="zh-CN" w:bidi="ar"/>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   四、存在的问题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b w:val="0"/>
          <w:bCs w:val="0"/>
          <w:i w:val="0"/>
          <w:iCs w:val="0"/>
          <w:caps w:val="0"/>
          <w:color w:val="333333"/>
          <w:spacing w:val="0"/>
          <w:kern w:val="0"/>
          <w:sz w:val="30"/>
          <w:szCs w:val="30"/>
          <w:shd w:val="clear" w:color="auto" w:fill="FFFFFF"/>
          <w:lang w:val="en-US" w:eastAsia="zh-CN" w:bidi="ar"/>
        </w:rPr>
      </w:pPr>
      <w:r>
        <w:rPr>
          <w:rFonts w:hint="eastAsia" w:ascii="仿宋" w:hAnsi="仿宋" w:eastAsia="仿宋" w:cs="仿宋"/>
          <w:b w:val="0"/>
          <w:bCs w:val="0"/>
          <w:i w:val="0"/>
          <w:iCs w:val="0"/>
          <w:caps w:val="0"/>
          <w:color w:val="333333"/>
          <w:spacing w:val="0"/>
          <w:kern w:val="0"/>
          <w:sz w:val="30"/>
          <w:szCs w:val="30"/>
          <w:shd w:val="clear" w:color="auto" w:fill="FFFFFF"/>
          <w:lang w:val="en-US" w:eastAsia="zh-CN" w:bidi="ar"/>
        </w:rPr>
        <w:t>因年末县财政资金紧张未能及时拨付，未能保证项目的质量和项目完成的及时性。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2"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b/>
          <w:bCs/>
          <w:i w:val="0"/>
          <w:iCs w:val="0"/>
          <w:caps w:val="0"/>
          <w:color w:val="333333"/>
          <w:spacing w:val="0"/>
          <w:kern w:val="0"/>
          <w:sz w:val="30"/>
          <w:szCs w:val="30"/>
          <w:shd w:val="clear" w:color="auto" w:fill="FFFFFF"/>
          <w:lang w:val="en-US" w:eastAsia="zh-CN" w:bidi="ar"/>
        </w:rPr>
        <w:t>   五、其他需要说明的问题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240" w:lineRule="auto"/>
        <w:ind w:left="0" w:right="0" w:firstLine="600" w:firstLineChars="200"/>
        <w:jc w:val="left"/>
        <w:textAlignment w:val="auto"/>
        <w:rPr>
          <w:rFonts w:hint="eastAsia" w:ascii="仿宋" w:hAnsi="仿宋" w:eastAsia="仿宋" w:cs="仿宋"/>
          <w:i w:val="0"/>
          <w:iCs w:val="0"/>
          <w:caps w:val="0"/>
          <w:color w:val="333333"/>
          <w:spacing w:val="0"/>
          <w:sz w:val="30"/>
          <w:szCs w:val="30"/>
        </w:rPr>
      </w:pPr>
      <w:r>
        <w:rPr>
          <w:rFonts w:hint="eastAsia" w:ascii="仿宋" w:hAnsi="仿宋" w:eastAsia="仿宋" w:cs="仿宋"/>
          <w:i w:val="0"/>
          <w:iCs w:val="0"/>
          <w:caps w:val="0"/>
          <w:color w:val="333333"/>
          <w:spacing w:val="0"/>
          <w:kern w:val="0"/>
          <w:sz w:val="30"/>
          <w:szCs w:val="30"/>
          <w:shd w:val="clear" w:color="auto" w:fill="FFFFFF"/>
          <w:lang w:val="en-US" w:eastAsia="zh-CN" w:bidi="ar"/>
        </w:rPr>
        <w:t>    建议加大资金支持，使得专款专用并及时拨付到位以保证项目的顺利实施。</w:t>
      </w:r>
    </w:p>
    <w:p>
      <w:pPr>
        <w:rPr>
          <w:rFonts w:hint="eastAsia"/>
        </w:rPr>
      </w:pPr>
    </w:p>
    <w:p>
      <w:pPr>
        <w:spacing w:line="570" w:lineRule="exact"/>
        <w:rPr>
          <w:rFonts w:hint="default" w:ascii="仿宋_GB2312" w:hAnsi="仿宋_GB2312" w:eastAsia="仿宋_GB2312" w:cs="Times New Roman"/>
          <w:kern w:val="0"/>
          <w:sz w:val="32"/>
          <w:szCs w:val="32"/>
          <w:lang w:val="en-US" w:eastAsia="zh-CN"/>
        </w:rPr>
      </w:pPr>
    </w:p>
    <w:sectPr>
      <w:footerReference r:id="rId3" w:type="default"/>
      <w:pgSz w:w="11906" w:h="16838"/>
      <w:pgMar w:top="2098" w:right="1587" w:bottom="2098" w:left="1587" w:header="851" w:footer="1417" w:gutter="0"/>
      <w:pgNumType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O1Qv8gBAACa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XhNieMWJ375/u3y49fl51ey&#10;zPr0AWpMewiYmIY7P2Du7Ad0ZtqDijZ/kRDBOKp7vqorh0REfrRerdcVhgTG5gvis8fnIUJ6K70l&#10;2WhoxPEVVfnpPaQxdU7J1Zy/18aUERr3lwMxs4fl3sces5WG/TAR2vv2jHx6nHxDHS46JeadQ2Hz&#10;ksxGnI39bBxD1IeubFGuB+H2mLCJ0luuMMJOhXFkhd20Xnkn/ryXrMdfav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DtUL/IAQAAmgMAAA4AAAAAAAAAAQAgAAAAHgEAAGRycy9lMm9Eb2Mu&#10;eG1sUEsFBgAAAAAGAAYAWQEAAFgFA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70CDD2"/>
    <w:multiLevelType w:val="singleLevel"/>
    <w:tmpl w:val="8370CDD2"/>
    <w:lvl w:ilvl="0" w:tentative="0">
      <w:start w:val="3"/>
      <w:numFmt w:val="decimal"/>
      <w:suff w:val="nothing"/>
      <w:lvlText w:val="%1、"/>
      <w:lvlJc w:val="left"/>
    </w:lvl>
  </w:abstractNum>
  <w:abstractNum w:abstractNumId="1">
    <w:nsid w:val="F7087CE7"/>
    <w:multiLevelType w:val="singleLevel"/>
    <w:tmpl w:val="F7087CE7"/>
    <w:lvl w:ilvl="0" w:tentative="0">
      <w:start w:val="1"/>
      <w:numFmt w:val="chineseCounting"/>
      <w:suff w:val="nothing"/>
      <w:lvlText w:val="%1、"/>
      <w:lvlJc w:val="left"/>
      <w:rPr>
        <w:rFonts w:hint="eastAsia"/>
      </w:rPr>
    </w:lvl>
  </w:abstractNum>
  <w:abstractNum w:abstractNumId="2">
    <w:nsid w:val="23DDB54A"/>
    <w:multiLevelType w:val="singleLevel"/>
    <w:tmpl w:val="23DDB54A"/>
    <w:lvl w:ilvl="0" w:tentative="0">
      <w:start w:val="5"/>
      <w:numFmt w:val="chineseCounting"/>
      <w:suff w:val="space"/>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TkxZTdiZjU2YWYwNDg3NzUzMTg0YzA2ODc2YzQifQ=="/>
  </w:docVars>
  <w:rsids>
    <w:rsidRoot w:val="00172A27"/>
    <w:rsid w:val="007B16D7"/>
    <w:rsid w:val="008A382E"/>
    <w:rsid w:val="00903CA6"/>
    <w:rsid w:val="0121313F"/>
    <w:rsid w:val="05E83538"/>
    <w:rsid w:val="076D374E"/>
    <w:rsid w:val="0805171E"/>
    <w:rsid w:val="08C4255F"/>
    <w:rsid w:val="0A17634F"/>
    <w:rsid w:val="0A655902"/>
    <w:rsid w:val="0B375C7F"/>
    <w:rsid w:val="0F541B90"/>
    <w:rsid w:val="138253AD"/>
    <w:rsid w:val="16192278"/>
    <w:rsid w:val="16FC47B8"/>
    <w:rsid w:val="17636C08"/>
    <w:rsid w:val="18122978"/>
    <w:rsid w:val="19053C22"/>
    <w:rsid w:val="194160B8"/>
    <w:rsid w:val="195A6CF6"/>
    <w:rsid w:val="1A2E751A"/>
    <w:rsid w:val="1B562253"/>
    <w:rsid w:val="1BA639B7"/>
    <w:rsid w:val="1C2A40E6"/>
    <w:rsid w:val="1C9F6334"/>
    <w:rsid w:val="22AB3A78"/>
    <w:rsid w:val="23AE2541"/>
    <w:rsid w:val="24201257"/>
    <w:rsid w:val="246C0BE2"/>
    <w:rsid w:val="249100E9"/>
    <w:rsid w:val="24A713B1"/>
    <w:rsid w:val="297F4D32"/>
    <w:rsid w:val="298C4C0E"/>
    <w:rsid w:val="29D26308"/>
    <w:rsid w:val="29E14C3E"/>
    <w:rsid w:val="2B953A38"/>
    <w:rsid w:val="2D4608E8"/>
    <w:rsid w:val="2D9519C3"/>
    <w:rsid w:val="2E36470C"/>
    <w:rsid w:val="2E966C28"/>
    <w:rsid w:val="2E9C7730"/>
    <w:rsid w:val="2F862699"/>
    <w:rsid w:val="33BC72C6"/>
    <w:rsid w:val="366D62CE"/>
    <w:rsid w:val="36716B17"/>
    <w:rsid w:val="36997774"/>
    <w:rsid w:val="37E32E58"/>
    <w:rsid w:val="3C27476B"/>
    <w:rsid w:val="3D0F50C1"/>
    <w:rsid w:val="3E2F07ED"/>
    <w:rsid w:val="3FA0387F"/>
    <w:rsid w:val="409E4722"/>
    <w:rsid w:val="4129422F"/>
    <w:rsid w:val="42486415"/>
    <w:rsid w:val="437B31CE"/>
    <w:rsid w:val="45837FCF"/>
    <w:rsid w:val="498A1BA7"/>
    <w:rsid w:val="4AB85A1B"/>
    <w:rsid w:val="4B260AF5"/>
    <w:rsid w:val="4D6F3997"/>
    <w:rsid w:val="4EED34E2"/>
    <w:rsid w:val="508634C3"/>
    <w:rsid w:val="540D3DDF"/>
    <w:rsid w:val="542E714C"/>
    <w:rsid w:val="54BA05FB"/>
    <w:rsid w:val="54C37059"/>
    <w:rsid w:val="55DF2C65"/>
    <w:rsid w:val="561D5DFC"/>
    <w:rsid w:val="56AF0EBA"/>
    <w:rsid w:val="578255AE"/>
    <w:rsid w:val="57C35C95"/>
    <w:rsid w:val="589B7671"/>
    <w:rsid w:val="58BC455C"/>
    <w:rsid w:val="59500529"/>
    <w:rsid w:val="59D026DC"/>
    <w:rsid w:val="5D037EF9"/>
    <w:rsid w:val="61175803"/>
    <w:rsid w:val="61283B5C"/>
    <w:rsid w:val="625471AD"/>
    <w:rsid w:val="62D67FA6"/>
    <w:rsid w:val="62F85339"/>
    <w:rsid w:val="633B56D1"/>
    <w:rsid w:val="649A7248"/>
    <w:rsid w:val="652E1246"/>
    <w:rsid w:val="66095C78"/>
    <w:rsid w:val="660D3CB9"/>
    <w:rsid w:val="663B73C7"/>
    <w:rsid w:val="67874F61"/>
    <w:rsid w:val="6D7C1813"/>
    <w:rsid w:val="7069057E"/>
    <w:rsid w:val="712B74A0"/>
    <w:rsid w:val="72364A4F"/>
    <w:rsid w:val="734D06AA"/>
    <w:rsid w:val="741B78DB"/>
    <w:rsid w:val="77402A6F"/>
    <w:rsid w:val="775D03C6"/>
    <w:rsid w:val="78191424"/>
    <w:rsid w:val="784E0692"/>
    <w:rsid w:val="796278F6"/>
    <w:rsid w:val="797359FC"/>
    <w:rsid w:val="7A52347F"/>
    <w:rsid w:val="7D8D6FB6"/>
    <w:rsid w:val="7E097ADE"/>
    <w:rsid w:val="7E6306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9">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alloon Text"/>
    <w:basedOn w:val="1"/>
    <w:link w:val="10"/>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批注框文本 Char"/>
    <w:basedOn w:val="9"/>
    <w:link w:val="4"/>
    <w:qFormat/>
    <w:uiPriority w:val="0"/>
    <w:rPr>
      <w:sz w:val="18"/>
      <w:szCs w:val="18"/>
    </w:rPr>
  </w:style>
  <w:style w:type="character" w:customStyle="1" w:styleId="11">
    <w:name w:val="页脚 Char"/>
    <w:basedOn w:val="9"/>
    <w:link w:val="5"/>
    <w:qFormat/>
    <w:uiPriority w:val="0"/>
    <w:rPr>
      <w:sz w:val="18"/>
      <w:szCs w:val="18"/>
    </w:rPr>
  </w:style>
  <w:style w:type="character" w:customStyle="1" w:styleId="12">
    <w:name w:val="页眉 Char"/>
    <w:basedOn w:val="9"/>
    <w:link w:val="6"/>
    <w:qFormat/>
    <w:uiPriority w:val="0"/>
    <w:rPr>
      <w:sz w:val="18"/>
      <w:szCs w:val="18"/>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35</Pages>
  <Words>9825</Words>
  <Characters>10558</Characters>
  <Lines>27</Lines>
  <Paragraphs>7</Paragraphs>
  <TotalTime>0</TotalTime>
  <ScaleCrop>false</ScaleCrop>
  <LinksUpToDate>false</LinksUpToDate>
  <CharactersWithSpaces>10627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2019-05-30T16:41:00Z</dcterms:created>
  <dc:creator>Administrator</dc:creator>
  <cp:lastModifiedBy>一盘宇宙</cp:lastModifiedBy>
  <cp:lastPrinted>2023-07-26T07:28:00Z</cp:lastPrinted>
  <dcterms:modified xsi:type="dcterms:W3CDTF">2023-11-21T07:07:54Z</dcterms:modified>
  <dc:title>附件1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8AF434B3D84D42ADA5ED08DCC81B276C_13</vt:lpwstr>
  </property>
</Properties>
</file>