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cs="仿宋"/>
          <w:bCs/>
          <w:color w:val="000000" w:themeColor="text1"/>
          <w:sz w:val="44"/>
          <w:szCs w:val="44"/>
        </w:rPr>
      </w:pPr>
      <w:r>
        <w:rPr>
          <w:rFonts w:hint="eastAsia" w:ascii="仿宋" w:hAnsi="仿宋" w:eastAsia="仿宋" w:cs="仿宋"/>
          <w:bCs/>
          <w:color w:val="000000" w:themeColor="text1"/>
          <w:sz w:val="44"/>
          <w:szCs w:val="44"/>
        </w:rPr>
        <w:t>兴国县市场监督管理局2021年部门预算</w:t>
      </w:r>
    </w:p>
    <w:p>
      <w:pPr>
        <w:spacing w:line="560" w:lineRule="exact"/>
        <w:jc w:val="center"/>
        <w:rPr>
          <w:rFonts w:hint="eastAsia" w:ascii="仿宋" w:hAnsi="仿宋" w:eastAsia="仿宋" w:cs="仿宋"/>
          <w:bCs/>
          <w:color w:val="000000" w:themeColor="text1"/>
          <w:sz w:val="44"/>
          <w:szCs w:val="44"/>
        </w:rPr>
      </w:pPr>
    </w:p>
    <w:p>
      <w:pPr>
        <w:spacing w:line="560" w:lineRule="exact"/>
        <w:jc w:val="center"/>
        <w:rPr>
          <w:rFonts w:hint="eastAsia" w:ascii="仿宋" w:hAnsi="仿宋" w:eastAsia="仿宋" w:cs="仿宋"/>
          <w:bCs/>
          <w:color w:val="000000" w:themeColor="text1"/>
          <w:sz w:val="44"/>
          <w:szCs w:val="44"/>
        </w:rPr>
      </w:pPr>
      <w:r>
        <w:rPr>
          <w:rFonts w:hint="eastAsia" w:ascii="仿宋" w:hAnsi="仿宋" w:eastAsia="仿宋" w:cs="仿宋"/>
          <w:bCs/>
          <w:color w:val="000000" w:themeColor="text1"/>
          <w:sz w:val="44"/>
          <w:szCs w:val="44"/>
        </w:rPr>
        <w:t>目  录</w:t>
      </w:r>
    </w:p>
    <w:p>
      <w:pPr>
        <w:widowControl/>
        <w:spacing w:line="580" w:lineRule="exact"/>
        <w:rPr>
          <w:rFonts w:hint="eastAsia" w:ascii="仿宋" w:hAnsi="仿宋" w:eastAsia="仿宋" w:cs="仿宋"/>
          <w:b/>
          <w:bCs/>
          <w:sz w:val="30"/>
          <w:szCs w:val="30"/>
        </w:rPr>
      </w:pPr>
      <w:r>
        <w:rPr>
          <w:rFonts w:hint="eastAsia" w:ascii="仿宋" w:hAnsi="仿宋" w:eastAsia="仿宋" w:cs="仿宋"/>
          <w:b/>
          <w:bCs/>
          <w:sz w:val="30"/>
          <w:szCs w:val="30"/>
        </w:rPr>
        <w:t>第一部分 兴国县市场监督管理局部门概况</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rPr>
        <w:t>一、部门主要职责</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rPr>
        <w:t>二、机构设置及人员情况</w:t>
      </w:r>
    </w:p>
    <w:p>
      <w:pPr>
        <w:ind w:left="641" w:hanging="641" w:hangingChars="213"/>
        <w:rPr>
          <w:rFonts w:hint="eastAsia"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部分 兴国县市场监督管理局部门预算表</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rPr>
        <w:t>一、《收支预算总表》</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rPr>
        <w:t>二、《部门收入总表》</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rPr>
        <w:t>三、《部门支出总表》</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rPr>
        <w:t>四、《财政拨款收支总表》</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rPr>
        <w:t>五、《一般公共预算支出表》</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rPr>
        <w:t>六、《一般公共预算基本支出表》</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rPr>
        <w:t>七、《“三公”经费支出表》</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rPr>
        <w:t>八、《政府性基金预算支出表》</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lang w:val="en-US" w:eastAsia="zh-CN"/>
        </w:rPr>
        <w:t>九、</w:t>
      </w:r>
      <w:r>
        <w:rPr>
          <w:rFonts w:hint="eastAsia" w:ascii="仿宋" w:hAnsi="仿宋" w:eastAsia="仿宋" w:cs="仿宋"/>
          <w:sz w:val="30"/>
          <w:szCs w:val="30"/>
        </w:rPr>
        <w:t>《部门整体支出绩效目标表》</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rPr>
        <w:t>十、《重点项目绩效目标表》</w:t>
      </w:r>
    </w:p>
    <w:p>
      <w:pPr>
        <w:ind w:left="641" w:hanging="641" w:hangingChars="213"/>
        <w:rPr>
          <w:rFonts w:hint="eastAsia"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部分 兴国县市场监督管理局部门预算情况说明</w:t>
      </w:r>
    </w:p>
    <w:p>
      <w:pPr>
        <w:ind w:left="632" w:leftChars="284" w:hanging="36" w:hangingChars="12"/>
        <w:rPr>
          <w:rFonts w:hint="eastAsia" w:ascii="仿宋" w:hAnsi="仿宋" w:eastAsia="仿宋" w:cs="仿宋"/>
          <w:sz w:val="30"/>
          <w:szCs w:val="30"/>
        </w:rPr>
      </w:pPr>
      <w:r>
        <w:rPr>
          <w:rFonts w:hint="eastAsia" w:ascii="仿宋" w:hAnsi="仿宋" w:eastAsia="仿宋" w:cs="仿宋"/>
          <w:sz w:val="30"/>
          <w:szCs w:val="30"/>
        </w:rPr>
        <w:t>一、2021年部门预算收支情况说明</w:t>
      </w:r>
    </w:p>
    <w:p>
      <w:pPr>
        <w:ind w:left="632" w:leftChars="284" w:hanging="36" w:hangingChars="12"/>
        <w:rPr>
          <w:rFonts w:hint="eastAsia" w:ascii="仿宋" w:hAnsi="仿宋" w:eastAsia="仿宋" w:cs="仿宋"/>
          <w:b/>
          <w:bCs/>
          <w:sz w:val="30"/>
          <w:szCs w:val="30"/>
          <w:lang w:val="en-US" w:eastAsia="zh-CN"/>
        </w:rPr>
      </w:pPr>
      <w:r>
        <w:rPr>
          <w:rFonts w:hint="eastAsia" w:ascii="仿宋" w:hAnsi="仿宋" w:eastAsia="仿宋" w:cs="仿宋"/>
          <w:sz w:val="30"/>
          <w:szCs w:val="30"/>
        </w:rPr>
        <w:t>二、2021年“三公”经费预算情况说明</w:t>
      </w:r>
    </w:p>
    <w:p>
      <w:pPr>
        <w:jc w:val="left"/>
        <w:rPr>
          <w:rFonts w:hint="eastAsia" w:ascii="仿宋" w:hAnsi="仿宋" w:eastAsia="仿宋" w:cs="仿宋"/>
          <w:b/>
          <w:sz w:val="30"/>
          <w:szCs w:val="30"/>
        </w:rPr>
      </w:pPr>
      <w:r>
        <w:rPr>
          <w:rFonts w:hint="eastAsia" w:ascii="仿宋" w:hAnsi="仿宋" w:eastAsia="仿宋" w:cs="仿宋"/>
          <w:b/>
          <w:bCs/>
          <w:sz w:val="30"/>
          <w:szCs w:val="30"/>
        </w:rPr>
        <w:t>第四部分  名词解释</w:t>
      </w:r>
    </w:p>
    <w:p>
      <w:pPr>
        <w:spacing w:line="560" w:lineRule="exact"/>
        <w:ind w:right="-210" w:rightChars="-100"/>
        <w:jc w:val="left"/>
        <w:rPr>
          <w:rFonts w:hint="eastAsia" w:ascii="仿宋" w:hAnsi="仿宋" w:eastAsia="仿宋" w:cs="仿宋"/>
          <w:b/>
          <w:color w:val="000000" w:themeColor="text1"/>
          <w:sz w:val="32"/>
          <w:szCs w:val="32"/>
        </w:rPr>
      </w:pPr>
    </w:p>
    <w:p>
      <w:pPr>
        <w:widowControl/>
        <w:spacing w:line="580" w:lineRule="exact"/>
        <w:jc w:val="center"/>
        <w:rPr>
          <w:rFonts w:hint="eastAsia" w:ascii="仿宋" w:hAnsi="仿宋" w:eastAsia="仿宋" w:cs="仿宋"/>
          <w:b/>
          <w:bCs/>
          <w:sz w:val="30"/>
          <w:szCs w:val="30"/>
        </w:rPr>
      </w:pPr>
      <w:r>
        <w:rPr>
          <w:rFonts w:hint="eastAsia" w:ascii="仿宋" w:hAnsi="仿宋" w:eastAsia="仿宋" w:cs="仿宋"/>
          <w:b/>
          <w:bCs/>
          <w:sz w:val="30"/>
          <w:szCs w:val="30"/>
        </w:rPr>
        <w:t>第一部分 兴国县市场监督管理局部门概况</w:t>
      </w:r>
    </w:p>
    <w:p>
      <w:pPr>
        <w:numPr>
          <w:ilvl w:val="0"/>
          <w:numId w:val="1"/>
        </w:numPr>
        <w:ind w:left="1316"/>
        <w:rPr>
          <w:rFonts w:hint="eastAsia" w:ascii="仿宋" w:hAnsi="仿宋" w:eastAsia="仿宋" w:cs="仿宋"/>
          <w:b/>
          <w:sz w:val="30"/>
          <w:szCs w:val="30"/>
        </w:rPr>
      </w:pPr>
      <w:r>
        <w:rPr>
          <w:rFonts w:hint="eastAsia" w:ascii="仿宋" w:hAnsi="仿宋" w:eastAsia="仿宋" w:cs="仿宋"/>
          <w:b/>
          <w:sz w:val="30"/>
          <w:szCs w:val="30"/>
        </w:rPr>
        <w:t>部门主要职责</w:t>
      </w:r>
    </w:p>
    <w:p>
      <w:pPr>
        <w:spacing w:line="180" w:lineRule="auto"/>
        <w:ind w:right="-210" w:rightChars="-100" w:firstLine="585"/>
        <w:jc w:val="left"/>
        <w:rPr>
          <w:rFonts w:hint="eastAsia" w:ascii="仿宋" w:hAnsi="仿宋" w:eastAsia="仿宋" w:cs="仿宋"/>
          <w:sz w:val="30"/>
          <w:szCs w:val="30"/>
        </w:rPr>
      </w:pPr>
      <w:r>
        <w:rPr>
          <w:rFonts w:hint="eastAsia" w:ascii="仿宋" w:hAnsi="仿宋" w:eastAsia="仿宋" w:cs="仿宋"/>
          <w:sz w:val="30"/>
          <w:szCs w:val="30"/>
        </w:rPr>
        <w:t>兴国县市场监督管理局是主管食品药品监督管理、工商行政管理、质量技术监督等方面工作的县委（县政府）组成部门，主要职责是：负责食品、药品、化妆品、医疗器械、特种设备、价格监督检查和反不正当竞争、知识产权战略、计量器具等产品质量安全监督管理，监督管理市场交易行为和网络交易及有关服务行为，负责全县商标监督、标准化管理等，承办县政府和上级主管部门交办的其他事项。</w:t>
      </w:r>
    </w:p>
    <w:p>
      <w:pPr>
        <w:spacing w:line="560" w:lineRule="exact"/>
        <w:ind w:right="-210" w:rightChars="-100" w:firstLine="602" w:firstLineChars="200"/>
        <w:jc w:val="left"/>
        <w:rPr>
          <w:rFonts w:hint="eastAsia" w:ascii="仿宋" w:hAnsi="仿宋" w:eastAsia="仿宋" w:cs="仿宋"/>
          <w:b/>
          <w:sz w:val="30"/>
          <w:szCs w:val="30"/>
        </w:rPr>
      </w:pPr>
      <w:r>
        <w:rPr>
          <w:rFonts w:hint="eastAsia" w:ascii="仿宋" w:hAnsi="仿宋" w:eastAsia="仿宋" w:cs="仿宋"/>
          <w:b/>
          <w:sz w:val="30"/>
          <w:szCs w:val="30"/>
        </w:rPr>
        <w:t>部门2021年主要工作任务</w:t>
      </w:r>
    </w:p>
    <w:p>
      <w:pPr>
        <w:spacing w:line="560" w:lineRule="exact"/>
        <w:ind w:right="-210" w:rightChars="-100" w:firstLine="600" w:firstLineChars="200"/>
        <w:jc w:val="left"/>
        <w:rPr>
          <w:rFonts w:hint="eastAsia" w:ascii="仿宋" w:hAnsi="仿宋" w:eastAsia="仿宋" w:cs="仿宋"/>
          <w:sz w:val="30"/>
          <w:szCs w:val="30"/>
        </w:rPr>
      </w:pPr>
      <w:r>
        <w:rPr>
          <w:rFonts w:hint="eastAsia" w:ascii="仿宋" w:hAnsi="仿宋" w:eastAsia="仿宋" w:cs="仿宋"/>
          <w:sz w:val="30"/>
          <w:szCs w:val="30"/>
        </w:rPr>
        <w:t>兴国县市场监督管理局2021年主要工作任务是：1、进一步优化营商环境，2、深入推进质量强县建设。3、紧盯食品药品安全不放松：进一步加大监管力度；进一步提高抽检效率；进一步加强学校监管；进一步健全长效机制。4、紧盯特种设备安全不放松。5、紧盯产品质量安全不放松。6、进一步加大执法力度。</w:t>
      </w:r>
    </w:p>
    <w:p>
      <w:pPr>
        <w:ind w:left="632" w:leftChars="284" w:hanging="36" w:hangingChars="12"/>
        <w:rPr>
          <w:rFonts w:hint="eastAsia" w:ascii="仿宋" w:hAnsi="仿宋" w:eastAsia="仿宋" w:cs="仿宋"/>
          <w:b/>
          <w:bCs/>
          <w:sz w:val="30"/>
          <w:szCs w:val="30"/>
        </w:rPr>
      </w:pPr>
      <w:bookmarkStart w:id="0" w:name="_GoBack"/>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机构设置及人员情况</w:t>
      </w:r>
    </w:p>
    <w:bookmarkEnd w:id="0"/>
    <w:p>
      <w:pPr>
        <w:spacing w:line="560" w:lineRule="exact"/>
        <w:ind w:right="-210" w:rightChars="-100" w:firstLine="600" w:firstLineChars="200"/>
        <w:jc w:val="left"/>
        <w:rPr>
          <w:rFonts w:hint="eastAsia" w:ascii="仿宋" w:hAnsi="仿宋" w:eastAsia="仿宋" w:cs="仿宋"/>
          <w:sz w:val="30"/>
          <w:szCs w:val="30"/>
        </w:rPr>
      </w:pPr>
      <w:r>
        <w:rPr>
          <w:rFonts w:hint="eastAsia" w:ascii="仿宋" w:hAnsi="仿宋" w:eastAsia="仿宋" w:cs="仿宋"/>
          <w:sz w:val="30"/>
          <w:szCs w:val="30"/>
        </w:rPr>
        <w:t>兴国县市场监督管理局共有预算单位2个，包括机关本级和1个所属事业单位兴国县市场监督管理执法稽查局。其中：行政编制117人、全额事业编制62人；实有人数158人，其中：在职人数158人，包括行政人员105人、全额事业53人、；离休人员3人；退休人员153人。</w:t>
      </w:r>
    </w:p>
    <w:p>
      <w:pPr>
        <w:spacing w:line="560" w:lineRule="exact"/>
        <w:ind w:right="-210" w:rightChars="-100" w:firstLine="600" w:firstLineChars="200"/>
        <w:jc w:val="left"/>
        <w:rPr>
          <w:rFonts w:hint="eastAsia" w:ascii="仿宋" w:hAnsi="仿宋" w:eastAsia="仿宋" w:cs="仿宋"/>
          <w:sz w:val="30"/>
          <w:szCs w:val="30"/>
        </w:rPr>
      </w:pPr>
    </w:p>
    <w:p>
      <w:pPr>
        <w:spacing w:line="560" w:lineRule="exact"/>
        <w:ind w:right="-210" w:rightChars="-100" w:firstLine="600" w:firstLineChars="200"/>
        <w:jc w:val="left"/>
        <w:rPr>
          <w:rFonts w:hint="eastAsia" w:ascii="仿宋" w:hAnsi="仿宋" w:eastAsia="仿宋" w:cs="仿宋"/>
          <w:sz w:val="30"/>
          <w:szCs w:val="30"/>
        </w:rPr>
      </w:pPr>
    </w:p>
    <w:p>
      <w:pPr>
        <w:numPr>
          <w:ilvl w:val="0"/>
          <w:numId w:val="2"/>
        </w:numPr>
        <w:ind w:leftChars="-213" w:firstLine="904" w:firstLineChars="300"/>
        <w:jc w:val="center"/>
        <w:rPr>
          <w:rFonts w:hint="eastAsia" w:ascii="仿宋" w:hAnsi="仿宋" w:eastAsia="仿宋" w:cs="仿宋"/>
          <w:b/>
          <w:bCs/>
          <w:sz w:val="30"/>
          <w:szCs w:val="30"/>
        </w:rPr>
      </w:pPr>
      <w:r>
        <w:rPr>
          <w:rFonts w:hint="eastAsia" w:ascii="仿宋" w:hAnsi="仿宋" w:eastAsia="仿宋" w:cs="仿宋"/>
          <w:b/>
          <w:bCs/>
          <w:sz w:val="30"/>
          <w:szCs w:val="30"/>
        </w:rPr>
        <w:t>兴国县市场监督管理局部门预算表</w:t>
      </w:r>
    </w:p>
    <w:p>
      <w:pPr>
        <w:numPr>
          <w:ilvl w:val="0"/>
          <w:numId w:val="0"/>
        </w:numPr>
        <w:jc w:val="both"/>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一、</w:t>
      </w:r>
      <w:r>
        <w:rPr>
          <w:rFonts w:hint="eastAsia" w:ascii="仿宋" w:hAnsi="仿宋" w:eastAsia="仿宋" w:cs="仿宋"/>
          <w:b w:val="0"/>
          <w:bCs w:val="0"/>
          <w:sz w:val="30"/>
          <w:szCs w:val="30"/>
        </w:rPr>
        <w:t>《收支预算总表》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b w:val="0"/>
          <w:bCs w:val="0"/>
          <w:sz w:val="30"/>
          <w:szCs w:val="30"/>
          <w:lang w:eastAsia="zh-CN"/>
        </w:rPr>
        <w:drawing>
          <wp:inline distT="0" distB="0" distL="114300" distR="114300">
            <wp:extent cx="5264785" cy="2406650"/>
            <wp:effectExtent l="0" t="0" r="12065" b="12700"/>
            <wp:docPr id="2" name="图片 2" descr="2571acbeb4113e582d92ca50683fe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571acbeb4113e582d92ca50683fef7"/>
                    <pic:cNvPicPr>
                      <a:picLocks noChangeAspect="1"/>
                    </pic:cNvPicPr>
                  </pic:nvPicPr>
                  <pic:blipFill>
                    <a:blip r:embed="rId4"/>
                    <a:stretch>
                      <a:fillRect/>
                    </a:stretch>
                  </pic:blipFill>
                  <pic:spPr>
                    <a:xfrm>
                      <a:off x="0" y="0"/>
                      <a:ext cx="5264785" cy="2406650"/>
                    </a:xfrm>
                    <a:prstGeom prst="rect">
                      <a:avLst/>
                    </a:prstGeom>
                  </pic:spPr>
                </pic:pic>
              </a:graphicData>
            </a:graphic>
          </wp:inline>
        </w:drawing>
      </w:r>
    </w:p>
    <w:p>
      <w:pPr>
        <w:numPr>
          <w:ilvl w:val="0"/>
          <w:numId w:val="0"/>
        </w:numPr>
        <w:jc w:val="both"/>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《部门收入总表》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839" w:leftChars="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62336" behindDoc="1" locked="0" layoutInCell="1" allowOverlap="1">
            <wp:simplePos x="0" y="0"/>
            <wp:positionH relativeFrom="column">
              <wp:posOffset>8890</wp:posOffset>
            </wp:positionH>
            <wp:positionV relativeFrom="page">
              <wp:posOffset>4751070</wp:posOffset>
            </wp:positionV>
            <wp:extent cx="5347970" cy="3648075"/>
            <wp:effectExtent l="0" t="0" r="5080" b="9525"/>
            <wp:wrapTight wrapText="bothSides">
              <wp:wrapPolygon>
                <wp:start x="0" y="0"/>
                <wp:lineTo x="0" y="21544"/>
                <wp:lineTo x="21544" y="21544"/>
                <wp:lineTo x="21544" y="0"/>
                <wp:lineTo x="0" y="0"/>
              </wp:wrapPolygon>
            </wp:wrapTight>
            <wp:docPr id="10" name="图片 10" descr="e330abb4b510c46d3f1cf2bed7fec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330abb4b510c46d3f1cf2bed7fec9e"/>
                    <pic:cNvPicPr>
                      <a:picLocks noChangeAspect="1"/>
                    </pic:cNvPicPr>
                  </pic:nvPicPr>
                  <pic:blipFill>
                    <a:blip r:embed="rId5"/>
                    <a:stretch>
                      <a:fillRect/>
                    </a:stretch>
                  </pic:blipFill>
                  <pic:spPr>
                    <a:xfrm>
                      <a:off x="0" y="0"/>
                      <a:ext cx="5347970" cy="3648075"/>
                    </a:xfrm>
                    <a:prstGeom prst="rect">
                      <a:avLst/>
                    </a:prstGeom>
                  </pic:spPr>
                </pic:pic>
              </a:graphicData>
            </a:graphic>
          </wp:anchor>
        </w:drawing>
      </w:r>
    </w:p>
    <w:p>
      <w:pPr>
        <w:numPr>
          <w:ilvl w:val="0"/>
          <w:numId w:val="0"/>
        </w:numPr>
        <w:ind w:left="840" w:leftChars="0"/>
        <w:jc w:val="both"/>
        <w:rPr>
          <w:rFonts w:hint="eastAsia" w:ascii="仿宋" w:hAnsi="仿宋" w:eastAsia="仿宋" w:cs="仿宋"/>
          <w:sz w:val="32"/>
          <w:szCs w:val="32"/>
          <w:lang w:eastAsia="zh-CN"/>
        </w:rPr>
      </w:pPr>
    </w:p>
    <w:p>
      <w:pPr>
        <w:numPr>
          <w:ilvl w:val="0"/>
          <w:numId w:val="0"/>
        </w:numPr>
        <w:ind w:left="840" w:leftChars="0"/>
        <w:jc w:val="both"/>
        <w:rPr>
          <w:rFonts w:hint="eastAsia" w:ascii="仿宋" w:hAnsi="仿宋" w:eastAsia="仿宋" w:cs="仿宋"/>
          <w:sz w:val="32"/>
          <w:szCs w:val="32"/>
          <w:lang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rPr>
        <w:t>《部门支出总表》</w:t>
      </w:r>
      <w:r>
        <w:rPr>
          <w:rFonts w:hint="eastAsia" w:ascii="仿宋" w:hAnsi="仿宋" w:eastAsia="仿宋" w:cs="仿宋"/>
          <w:sz w:val="32"/>
          <w:szCs w:val="32"/>
          <w:lang w:val="en-US" w:eastAsia="zh-CN"/>
        </w:rPr>
        <w:drawing>
          <wp:anchor distT="0" distB="0" distL="114300" distR="114300" simplePos="0" relativeHeight="251663360" behindDoc="1" locked="0" layoutInCell="1" allowOverlap="1">
            <wp:simplePos x="0" y="0"/>
            <wp:positionH relativeFrom="column">
              <wp:posOffset>-29210</wp:posOffset>
            </wp:positionH>
            <wp:positionV relativeFrom="page">
              <wp:posOffset>1857375</wp:posOffset>
            </wp:positionV>
            <wp:extent cx="5265420" cy="3351530"/>
            <wp:effectExtent l="0" t="0" r="11430" b="1270"/>
            <wp:wrapTight wrapText="bothSides">
              <wp:wrapPolygon>
                <wp:start x="0" y="0"/>
                <wp:lineTo x="0" y="21485"/>
                <wp:lineTo x="21491" y="21485"/>
                <wp:lineTo x="21491" y="0"/>
                <wp:lineTo x="0" y="0"/>
              </wp:wrapPolygon>
            </wp:wrapTight>
            <wp:docPr id="11" name="图片 11" descr="f4d41c745ac05c428ee7e28aa062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f4d41c745ac05c428ee7e28aa062cca"/>
                    <pic:cNvPicPr>
                      <a:picLocks noChangeAspect="1"/>
                    </pic:cNvPicPr>
                  </pic:nvPicPr>
                  <pic:blipFill>
                    <a:blip r:embed="rId6"/>
                    <a:stretch>
                      <a:fillRect/>
                    </a:stretch>
                  </pic:blipFill>
                  <pic:spPr>
                    <a:xfrm>
                      <a:off x="0" y="0"/>
                      <a:ext cx="5265420" cy="3351530"/>
                    </a:xfrm>
                    <a:prstGeom prst="rect">
                      <a:avLst/>
                    </a:prstGeom>
                  </pic:spPr>
                </pic:pic>
              </a:graphicData>
            </a:graphic>
          </wp:anchor>
        </w:drawing>
      </w: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《财政拨款收支总表》</w:t>
      </w:r>
    </w:p>
    <w:p>
      <w:pPr>
        <w:numPr>
          <w:ilvl w:val="0"/>
          <w:numId w:val="0"/>
        </w:numPr>
        <w:ind w:left="840" w:lef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4384" behindDoc="1" locked="0" layoutInCell="1" allowOverlap="1">
            <wp:simplePos x="0" y="0"/>
            <wp:positionH relativeFrom="column">
              <wp:posOffset>28575</wp:posOffset>
            </wp:positionH>
            <wp:positionV relativeFrom="page">
              <wp:posOffset>6177280</wp:posOffset>
            </wp:positionV>
            <wp:extent cx="5545455" cy="2559050"/>
            <wp:effectExtent l="0" t="0" r="17145" b="12700"/>
            <wp:wrapTight wrapText="bothSides">
              <wp:wrapPolygon>
                <wp:start x="0" y="0"/>
                <wp:lineTo x="0" y="21386"/>
                <wp:lineTo x="21518" y="21386"/>
                <wp:lineTo x="21518" y="0"/>
                <wp:lineTo x="0" y="0"/>
              </wp:wrapPolygon>
            </wp:wrapTight>
            <wp:docPr id="12" name="图片 12" descr="72fc4073d77912203c752660fa9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2fc4073d77912203c752660fa97440"/>
                    <pic:cNvPicPr>
                      <a:picLocks noChangeAspect="1"/>
                    </pic:cNvPicPr>
                  </pic:nvPicPr>
                  <pic:blipFill>
                    <a:blip r:embed="rId7"/>
                    <a:stretch>
                      <a:fillRect/>
                    </a:stretch>
                  </pic:blipFill>
                  <pic:spPr>
                    <a:xfrm>
                      <a:off x="0" y="0"/>
                      <a:ext cx="5545455" cy="2559050"/>
                    </a:xfrm>
                    <a:prstGeom prst="rect">
                      <a:avLst/>
                    </a:prstGeom>
                  </pic:spPr>
                </pic:pic>
              </a:graphicData>
            </a:graphic>
          </wp:anchor>
        </w:drawing>
      </w: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sz w:val="32"/>
          <w:szCs w:val="32"/>
          <w:lang w:val="en-US" w:eastAsia="zh-CN"/>
        </w:rPr>
      </w:pPr>
    </w:p>
    <w:p>
      <w:pPr>
        <w:numPr>
          <w:ilvl w:val="0"/>
          <w:numId w:val="0"/>
        </w:numPr>
        <w:jc w:val="both"/>
        <w:rPr>
          <w:rFonts w:hint="eastAsia" w:ascii="仿宋" w:hAnsi="仿宋" w:eastAsia="仿宋" w:cs="仿宋"/>
          <w:b/>
          <w:bCs/>
          <w:sz w:val="30"/>
          <w:szCs w:val="30"/>
        </w:rPr>
      </w:pPr>
      <w:r>
        <w:rPr>
          <w:rFonts w:hint="eastAsia" w:ascii="仿宋" w:hAnsi="仿宋" w:eastAsia="仿宋" w:cs="仿宋"/>
          <w:sz w:val="32"/>
          <w:szCs w:val="32"/>
          <w:lang w:val="en-US" w:eastAsia="zh-CN"/>
        </w:rPr>
        <w:t>五、</w:t>
      </w:r>
      <w:r>
        <w:rPr>
          <w:rFonts w:hint="eastAsia" w:ascii="仿宋" w:hAnsi="仿宋" w:eastAsia="仿宋" w:cs="仿宋"/>
          <w:sz w:val="32"/>
          <w:szCs w:val="32"/>
        </w:rPr>
        <w:t>《一般公共预算支出表》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drawing>
          <wp:inline distT="0" distB="0" distL="114300" distR="114300">
            <wp:extent cx="5755005" cy="4932045"/>
            <wp:effectExtent l="0" t="0" r="17145" b="1905"/>
            <wp:docPr id="13" name="图片 13" descr="08a6181b912e8c37b66c27f8ed03b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08a6181b912e8c37b66c27f8ed03b41"/>
                    <pic:cNvPicPr>
                      <a:picLocks noChangeAspect="1"/>
                    </pic:cNvPicPr>
                  </pic:nvPicPr>
                  <pic:blipFill>
                    <a:blip r:embed="rId8"/>
                    <a:stretch>
                      <a:fillRect/>
                    </a:stretch>
                  </pic:blipFill>
                  <pic:spPr>
                    <a:xfrm>
                      <a:off x="0" y="0"/>
                      <a:ext cx="5755005" cy="493204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《一</w:t>
      </w:r>
      <w:r>
        <w:rPr>
          <w:rFonts w:hint="eastAsia" w:ascii="仿宋" w:hAnsi="仿宋" w:eastAsia="仿宋" w:cs="仿宋"/>
          <w:b w:val="0"/>
          <w:bCs w:val="0"/>
          <w:sz w:val="32"/>
          <w:szCs w:val="32"/>
        </w:rPr>
        <w:t>般</w:t>
      </w:r>
      <w:r>
        <w:rPr>
          <w:rFonts w:hint="eastAsia" w:ascii="仿宋" w:hAnsi="仿宋" w:eastAsia="仿宋" w:cs="仿宋"/>
          <w:sz w:val="32"/>
          <w:szCs w:val="32"/>
        </w:rPr>
        <w:t>公共预算基本支出表》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b/>
          <w:bCs/>
          <w:sz w:val="30"/>
          <w:szCs w:val="30"/>
          <w:lang w:val="en-US" w:eastAsia="zh-CN"/>
        </w:rPr>
        <w:drawing>
          <wp:inline distT="0" distB="0" distL="114300" distR="114300">
            <wp:extent cx="5272405" cy="5925185"/>
            <wp:effectExtent l="0" t="0" r="4445" b="18415"/>
            <wp:docPr id="15" name="图片 15" descr="ba954c68e9bfdb8021a7328d732a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ba954c68e9bfdb8021a7328d732a82f"/>
                    <pic:cNvPicPr>
                      <a:picLocks noChangeAspect="1"/>
                    </pic:cNvPicPr>
                  </pic:nvPicPr>
                  <pic:blipFill>
                    <a:blip r:embed="rId9"/>
                    <a:stretch>
                      <a:fillRect/>
                    </a:stretch>
                  </pic:blipFill>
                  <pic:spPr>
                    <a:xfrm>
                      <a:off x="0" y="0"/>
                      <a:ext cx="5272405" cy="5925185"/>
                    </a:xfrm>
                    <a:prstGeom prst="rect">
                      <a:avLst/>
                    </a:prstGeom>
                  </pic:spPr>
                </pic:pic>
              </a:graphicData>
            </a:graphic>
          </wp:inline>
        </w:drawing>
      </w:r>
    </w:p>
    <w:p>
      <w:pPr>
        <w:numPr>
          <w:ilvl w:val="0"/>
          <w:numId w:val="0"/>
        </w:numPr>
        <w:spacing w:line="560" w:lineRule="exact"/>
        <w:ind w:left="210" w:leftChars="0"/>
        <w:rPr>
          <w:rFonts w:hint="eastAsia" w:ascii="仿宋" w:hAnsi="仿宋" w:eastAsia="仿宋" w:cs="仿宋"/>
          <w:b w:val="0"/>
          <w:bCs w:val="0"/>
          <w:sz w:val="30"/>
          <w:szCs w:val="30"/>
          <w:lang w:val="en-US" w:eastAsia="zh-CN"/>
        </w:rPr>
      </w:pPr>
    </w:p>
    <w:p>
      <w:pPr>
        <w:numPr>
          <w:ilvl w:val="0"/>
          <w:numId w:val="0"/>
        </w:numPr>
        <w:spacing w:line="560" w:lineRule="exact"/>
        <w:ind w:left="210" w:leftChars="0"/>
        <w:rPr>
          <w:rFonts w:hint="eastAsia" w:ascii="仿宋" w:hAnsi="仿宋" w:eastAsia="仿宋" w:cs="仿宋"/>
          <w:b w:val="0"/>
          <w:bCs w:val="0"/>
          <w:sz w:val="30"/>
          <w:szCs w:val="30"/>
          <w:lang w:val="en-US" w:eastAsia="zh-CN"/>
        </w:rPr>
      </w:pPr>
    </w:p>
    <w:p>
      <w:pPr>
        <w:numPr>
          <w:ilvl w:val="0"/>
          <w:numId w:val="0"/>
        </w:numPr>
        <w:spacing w:line="560" w:lineRule="exact"/>
        <w:ind w:left="210" w:leftChars="0"/>
        <w:rPr>
          <w:rFonts w:hint="eastAsia" w:ascii="仿宋" w:hAnsi="仿宋" w:eastAsia="仿宋" w:cs="仿宋"/>
          <w:b w:val="0"/>
          <w:bCs w:val="0"/>
          <w:sz w:val="30"/>
          <w:szCs w:val="30"/>
          <w:lang w:val="en-US" w:eastAsia="zh-CN"/>
        </w:rPr>
      </w:pPr>
    </w:p>
    <w:p>
      <w:pPr>
        <w:numPr>
          <w:ilvl w:val="0"/>
          <w:numId w:val="0"/>
        </w:numPr>
        <w:spacing w:line="560" w:lineRule="exact"/>
        <w:ind w:left="210" w:leftChars="0"/>
        <w:rPr>
          <w:rFonts w:hint="eastAsia" w:ascii="仿宋" w:hAnsi="仿宋" w:eastAsia="仿宋" w:cs="仿宋"/>
          <w:b w:val="0"/>
          <w:bCs w:val="0"/>
          <w:sz w:val="30"/>
          <w:szCs w:val="30"/>
          <w:lang w:val="en-US" w:eastAsia="zh-CN"/>
        </w:rPr>
      </w:pPr>
    </w:p>
    <w:p>
      <w:pPr>
        <w:numPr>
          <w:ilvl w:val="0"/>
          <w:numId w:val="0"/>
        </w:numPr>
        <w:spacing w:line="560" w:lineRule="exact"/>
        <w:ind w:left="210" w:leftChars="0"/>
        <w:rPr>
          <w:rFonts w:hint="eastAsia" w:ascii="仿宋" w:hAnsi="仿宋" w:eastAsia="仿宋" w:cs="仿宋"/>
          <w:b w:val="0"/>
          <w:bCs w:val="0"/>
          <w:sz w:val="30"/>
          <w:szCs w:val="30"/>
          <w:lang w:val="en-US" w:eastAsia="zh-CN"/>
        </w:rPr>
      </w:pPr>
    </w:p>
    <w:p>
      <w:pPr>
        <w:numPr>
          <w:ilvl w:val="0"/>
          <w:numId w:val="0"/>
        </w:numPr>
        <w:spacing w:line="560" w:lineRule="exact"/>
        <w:ind w:left="210" w:leftChars="0"/>
        <w:rPr>
          <w:rFonts w:hint="eastAsia" w:ascii="仿宋" w:hAnsi="仿宋" w:eastAsia="仿宋" w:cs="仿宋"/>
          <w:b w:val="0"/>
          <w:bCs w:val="0"/>
          <w:sz w:val="30"/>
          <w:szCs w:val="30"/>
          <w:lang w:val="en-US" w:eastAsia="zh-CN"/>
        </w:rPr>
      </w:pPr>
    </w:p>
    <w:p>
      <w:pPr>
        <w:numPr>
          <w:ilvl w:val="0"/>
          <w:numId w:val="0"/>
        </w:numPr>
        <w:spacing w:line="560" w:lineRule="exact"/>
        <w:ind w:left="210" w:leftChars="0"/>
        <w:rPr>
          <w:rFonts w:hint="eastAsia" w:ascii="仿宋" w:hAnsi="仿宋" w:eastAsia="仿宋" w:cs="仿宋"/>
          <w:b w:val="0"/>
          <w:bCs w:val="0"/>
          <w:sz w:val="30"/>
          <w:szCs w:val="30"/>
          <w:lang w:val="en-US" w:eastAsia="zh-CN"/>
        </w:rPr>
      </w:pPr>
    </w:p>
    <w:p>
      <w:pPr>
        <w:numPr>
          <w:ilvl w:val="0"/>
          <w:numId w:val="0"/>
        </w:numPr>
        <w:spacing w:line="560" w:lineRule="exact"/>
        <w:ind w:left="210" w:leftChars="0"/>
        <w:rPr>
          <w:rFonts w:hint="eastAsia" w:ascii="仿宋" w:hAnsi="仿宋" w:eastAsia="仿宋" w:cs="仿宋"/>
          <w:b/>
          <w:bCs/>
          <w:sz w:val="30"/>
          <w:szCs w:val="30"/>
          <w:lang w:val="en-US" w:eastAsia="zh-CN"/>
        </w:rPr>
      </w:pPr>
      <w:r>
        <w:rPr>
          <w:rFonts w:hint="eastAsia" w:ascii="仿宋" w:hAnsi="仿宋" w:eastAsia="仿宋" w:cs="仿宋"/>
          <w:b w:val="0"/>
          <w:bCs w:val="0"/>
          <w:sz w:val="30"/>
          <w:szCs w:val="30"/>
          <w:lang w:val="en-US" w:eastAsia="zh-CN"/>
        </w:rPr>
        <w:t>七、</w:t>
      </w:r>
      <w:r>
        <w:rPr>
          <w:rFonts w:hint="eastAsia" w:ascii="仿宋" w:hAnsi="仿宋" w:eastAsia="仿宋" w:cs="仿宋"/>
          <w:sz w:val="32"/>
          <w:szCs w:val="32"/>
        </w:rPr>
        <w:t>《一般公共预算“三公”经费支出表》</w:t>
      </w:r>
    </w:p>
    <w:p>
      <w:pPr>
        <w:numPr>
          <w:ilvl w:val="0"/>
          <w:numId w:val="0"/>
        </w:numPr>
        <w:spacing w:line="560" w:lineRule="exact"/>
        <w:ind w:left="210" w:leftChars="0"/>
        <w:rPr>
          <w:rFonts w:hint="eastAsia" w:ascii="仿宋" w:hAnsi="仿宋" w:eastAsia="仿宋" w:cs="仿宋"/>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drawing>
          <wp:inline distT="0" distB="0" distL="114300" distR="114300">
            <wp:extent cx="5268595" cy="989330"/>
            <wp:effectExtent l="0" t="0" r="8255" b="1270"/>
            <wp:docPr id="8" name="图片 8" descr="ae8bfd273bf9acd0e99efcb668249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e8bfd273bf9acd0e99efcb6682490a"/>
                    <pic:cNvPicPr>
                      <a:picLocks noChangeAspect="1"/>
                    </pic:cNvPicPr>
                  </pic:nvPicPr>
                  <pic:blipFill>
                    <a:blip r:embed="rId10"/>
                    <a:stretch>
                      <a:fillRect/>
                    </a:stretch>
                  </pic:blipFill>
                  <pic:spPr>
                    <a:xfrm>
                      <a:off x="0" y="0"/>
                      <a:ext cx="5268595" cy="989330"/>
                    </a:xfrm>
                    <a:prstGeom prst="rect">
                      <a:avLst/>
                    </a:prstGeom>
                  </pic:spPr>
                </pic:pic>
              </a:graphicData>
            </a:graphic>
          </wp:inline>
        </w:drawing>
      </w:r>
    </w:p>
    <w:p>
      <w:pPr>
        <w:numPr>
          <w:ilvl w:val="0"/>
          <w:numId w:val="0"/>
        </w:numPr>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drawing>
          <wp:anchor distT="0" distB="0" distL="114300" distR="114300" simplePos="0" relativeHeight="251659264" behindDoc="1" locked="0" layoutInCell="1" allowOverlap="1">
            <wp:simplePos x="0" y="0"/>
            <wp:positionH relativeFrom="column">
              <wp:posOffset>163830</wp:posOffset>
            </wp:positionH>
            <wp:positionV relativeFrom="paragraph">
              <wp:posOffset>1247775</wp:posOffset>
            </wp:positionV>
            <wp:extent cx="5270500" cy="1031875"/>
            <wp:effectExtent l="0" t="0" r="6350" b="15875"/>
            <wp:wrapThrough wrapText="bothSides">
              <wp:wrapPolygon>
                <wp:start x="0" y="0"/>
                <wp:lineTo x="0" y="21135"/>
                <wp:lineTo x="21548" y="21135"/>
                <wp:lineTo x="21548" y="0"/>
                <wp:lineTo x="0" y="0"/>
              </wp:wrapPolygon>
            </wp:wrapThrough>
            <wp:docPr id="16" name="图片 16" descr="ee830ef466243addde78ffdc0282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ee830ef466243addde78ffdc0282de8"/>
                    <pic:cNvPicPr>
                      <a:picLocks noChangeAspect="1"/>
                    </pic:cNvPicPr>
                  </pic:nvPicPr>
                  <pic:blipFill>
                    <a:blip r:embed="rId11"/>
                    <a:stretch>
                      <a:fillRect/>
                    </a:stretch>
                  </pic:blipFill>
                  <pic:spPr>
                    <a:xfrm>
                      <a:off x="0" y="0"/>
                      <a:ext cx="5270500" cy="1031875"/>
                    </a:xfrm>
                    <a:prstGeom prst="rect">
                      <a:avLst/>
                    </a:prstGeom>
                  </pic:spPr>
                </pic:pic>
              </a:graphicData>
            </a:graphic>
          </wp:anchor>
        </w:drawing>
      </w:r>
    </w:p>
    <w:p>
      <w:pPr>
        <w:numPr>
          <w:ilvl w:val="0"/>
          <w:numId w:val="0"/>
        </w:numPr>
        <w:ind w:leftChars="-213"/>
        <w:jc w:val="both"/>
        <w:rPr>
          <w:rFonts w:hint="eastAsia" w:ascii="仿宋" w:hAnsi="仿宋" w:eastAsia="仿宋" w:cs="仿宋"/>
          <w:b/>
          <w:bCs/>
          <w:sz w:val="30"/>
          <w:szCs w:val="30"/>
        </w:rPr>
      </w:pPr>
    </w:p>
    <w:p>
      <w:pPr>
        <w:numPr>
          <w:ilvl w:val="0"/>
          <w:numId w:val="0"/>
        </w:numPr>
        <w:spacing w:line="560" w:lineRule="exact"/>
        <w:ind w:firstLine="320" w:firstLineChars="100"/>
        <w:rPr>
          <w:rFonts w:hint="eastAsia" w:ascii="仿宋" w:hAnsi="仿宋" w:eastAsia="仿宋" w:cs="仿宋"/>
          <w:b/>
          <w:bCs/>
          <w:sz w:val="30"/>
          <w:szCs w:val="30"/>
        </w:rPr>
      </w:pPr>
      <w:r>
        <w:rPr>
          <w:rFonts w:hint="eastAsia" w:ascii="仿宋" w:hAnsi="仿宋" w:eastAsia="仿宋" w:cs="仿宋"/>
          <w:sz w:val="32"/>
          <w:szCs w:val="32"/>
          <w:lang w:val="en-US" w:eastAsia="zh-CN"/>
        </w:rPr>
        <w:t>八、</w:t>
      </w:r>
      <w:r>
        <w:rPr>
          <w:rFonts w:hint="eastAsia" w:ascii="仿宋" w:hAnsi="仿宋" w:eastAsia="仿宋" w:cs="仿宋"/>
          <w:sz w:val="32"/>
          <w:szCs w:val="32"/>
        </w:rPr>
        <w:t>《政府性基金预算支出表》</w:t>
      </w:r>
    </w:p>
    <w:p>
      <w:pPr>
        <w:numPr>
          <w:ilvl w:val="0"/>
          <w:numId w:val="0"/>
        </w:numPr>
        <w:ind w:leftChars="-213"/>
        <w:jc w:val="both"/>
        <w:rPr>
          <w:rFonts w:hint="eastAsia" w:ascii="仿宋" w:hAnsi="仿宋" w:eastAsia="仿宋" w:cs="仿宋"/>
          <w:b/>
          <w:bCs/>
          <w:sz w:val="30"/>
          <w:szCs w:val="30"/>
        </w:rPr>
      </w:pPr>
    </w:p>
    <w:p>
      <w:pPr>
        <w:numPr>
          <w:ilvl w:val="0"/>
          <w:numId w:val="0"/>
        </w:numPr>
        <w:ind w:leftChars="-213"/>
        <w:jc w:val="both"/>
        <w:rPr>
          <w:rFonts w:hint="eastAsia" w:ascii="仿宋" w:hAnsi="仿宋" w:eastAsia="仿宋" w:cs="仿宋"/>
          <w:b/>
          <w:bCs/>
          <w:sz w:val="30"/>
          <w:szCs w:val="30"/>
        </w:rPr>
      </w:pPr>
    </w:p>
    <w:p>
      <w:pPr>
        <w:numPr>
          <w:ilvl w:val="0"/>
          <w:numId w:val="0"/>
        </w:numPr>
        <w:ind w:leftChars="-213"/>
        <w:jc w:val="both"/>
        <w:rPr>
          <w:rFonts w:hint="eastAsia" w:ascii="仿宋" w:hAnsi="仿宋" w:eastAsia="仿宋" w:cs="仿宋"/>
          <w:b/>
          <w:bCs/>
          <w:sz w:val="30"/>
          <w:szCs w:val="30"/>
        </w:rPr>
      </w:pPr>
    </w:p>
    <w:p>
      <w:pPr>
        <w:numPr>
          <w:ilvl w:val="0"/>
          <w:numId w:val="0"/>
        </w:numPr>
        <w:ind w:leftChars="-213"/>
        <w:jc w:val="both"/>
        <w:rPr>
          <w:rFonts w:hint="eastAsia" w:ascii="仿宋" w:hAnsi="仿宋" w:eastAsia="仿宋" w:cs="仿宋"/>
          <w:b/>
          <w:bCs/>
          <w:sz w:val="30"/>
          <w:szCs w:val="30"/>
        </w:rPr>
      </w:pPr>
    </w:p>
    <w:p>
      <w:pPr>
        <w:numPr>
          <w:ilvl w:val="0"/>
          <w:numId w:val="0"/>
        </w:numPr>
        <w:ind w:leftChars="-213"/>
        <w:jc w:val="both"/>
        <w:rPr>
          <w:rFonts w:hint="eastAsia" w:ascii="仿宋" w:hAnsi="仿宋" w:eastAsia="仿宋" w:cs="仿宋"/>
          <w:b/>
          <w:bCs/>
          <w:sz w:val="30"/>
          <w:szCs w:val="30"/>
        </w:rPr>
      </w:pPr>
    </w:p>
    <w:p>
      <w:pPr>
        <w:numPr>
          <w:ilvl w:val="0"/>
          <w:numId w:val="0"/>
        </w:numPr>
        <w:ind w:leftChars="-213"/>
        <w:jc w:val="both"/>
        <w:rPr>
          <w:rFonts w:hint="eastAsia" w:ascii="仿宋" w:hAnsi="仿宋" w:eastAsia="仿宋" w:cs="仿宋"/>
          <w:b/>
          <w:bCs/>
          <w:sz w:val="30"/>
          <w:szCs w:val="30"/>
        </w:rPr>
      </w:pPr>
    </w:p>
    <w:p>
      <w:pPr>
        <w:numPr>
          <w:ilvl w:val="0"/>
          <w:numId w:val="0"/>
        </w:numPr>
        <w:ind w:leftChars="-213"/>
        <w:jc w:val="both"/>
        <w:rPr>
          <w:rFonts w:hint="eastAsia" w:ascii="仿宋" w:hAnsi="仿宋" w:eastAsia="仿宋" w:cs="仿宋"/>
          <w:b/>
          <w:bCs/>
          <w:sz w:val="30"/>
          <w:szCs w:val="30"/>
        </w:rPr>
      </w:pPr>
    </w:p>
    <w:p>
      <w:pPr>
        <w:numPr>
          <w:ilvl w:val="0"/>
          <w:numId w:val="0"/>
        </w:numPr>
        <w:ind w:leftChars="-213"/>
        <w:jc w:val="both"/>
        <w:rPr>
          <w:rFonts w:hint="eastAsia" w:ascii="仿宋" w:hAnsi="仿宋" w:eastAsia="仿宋" w:cs="仿宋"/>
          <w:b/>
          <w:bCs/>
          <w:sz w:val="30"/>
          <w:szCs w:val="30"/>
        </w:rPr>
      </w:pPr>
    </w:p>
    <w:p>
      <w:pPr>
        <w:numPr>
          <w:ilvl w:val="0"/>
          <w:numId w:val="0"/>
        </w:numPr>
        <w:jc w:val="both"/>
        <w:rPr>
          <w:rFonts w:hint="eastAsia" w:ascii="仿宋" w:hAnsi="仿宋" w:eastAsia="仿宋" w:cs="仿宋"/>
          <w:b/>
          <w:bCs/>
          <w:sz w:val="30"/>
          <w:szCs w:val="30"/>
        </w:rPr>
      </w:pPr>
    </w:p>
    <w:p>
      <w:pPr>
        <w:numPr>
          <w:ilvl w:val="0"/>
          <w:numId w:val="3"/>
        </w:numPr>
        <w:spacing w:line="560" w:lineRule="exact"/>
        <w:ind w:left="-430" w:leftChars="0" w:right="-210" w:rightChars="-100" w:firstLine="640" w:firstLineChars="0"/>
        <w:jc w:val="left"/>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《部门整体支出绩效目标表》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210" w:rightChars="-100"/>
        <w:jc w:val="left"/>
        <w:textAlignment w:val="auto"/>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drawing>
          <wp:anchor distT="0" distB="0" distL="114300" distR="114300" simplePos="0" relativeHeight="251660288" behindDoc="0" locked="0" layoutInCell="1" allowOverlap="1">
            <wp:simplePos x="0" y="0"/>
            <wp:positionH relativeFrom="column">
              <wp:posOffset>9525</wp:posOffset>
            </wp:positionH>
            <wp:positionV relativeFrom="page">
              <wp:posOffset>5958840</wp:posOffset>
            </wp:positionV>
            <wp:extent cx="5281295" cy="4640580"/>
            <wp:effectExtent l="0" t="0" r="14605" b="7620"/>
            <wp:wrapNone/>
            <wp:docPr id="18" name="图片 18" descr="3d04c619cf2eeb1f15fce58c79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3d04c619cf2eeb1f15fce58c7983755"/>
                    <pic:cNvPicPr>
                      <a:picLocks noChangeAspect="1"/>
                    </pic:cNvPicPr>
                  </pic:nvPicPr>
                  <pic:blipFill>
                    <a:blip r:embed="rId12"/>
                    <a:stretch>
                      <a:fillRect/>
                    </a:stretch>
                  </pic:blipFill>
                  <pic:spPr>
                    <a:xfrm>
                      <a:off x="0" y="0"/>
                      <a:ext cx="5281295" cy="4640580"/>
                    </a:xfrm>
                    <a:prstGeom prst="rect">
                      <a:avLst/>
                    </a:prstGeom>
                  </pic:spPr>
                </pic:pic>
              </a:graphicData>
            </a:graphic>
          </wp:anchor>
        </w:drawing>
      </w:r>
      <w:r>
        <w:rPr>
          <w:rFonts w:hint="eastAsia" w:ascii="仿宋" w:hAnsi="仿宋" w:eastAsia="仿宋" w:cs="仿宋"/>
          <w:color w:val="000000" w:themeColor="text1"/>
          <w:sz w:val="32"/>
          <w:szCs w:val="32"/>
          <w:lang w:val="en-US" w:eastAsia="zh-CN"/>
        </w:rPr>
        <w:drawing>
          <wp:inline distT="0" distB="0" distL="114300" distR="114300">
            <wp:extent cx="5248910" cy="4641850"/>
            <wp:effectExtent l="0" t="0" r="8890" b="6350"/>
            <wp:docPr id="17" name="图片 17" descr="22d1b731528d92a0d8a86f36f613f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22d1b731528d92a0d8a86f36f613f22"/>
                    <pic:cNvPicPr>
                      <a:picLocks noChangeAspect="1"/>
                    </pic:cNvPicPr>
                  </pic:nvPicPr>
                  <pic:blipFill>
                    <a:blip r:embed="rId13"/>
                    <a:stretch>
                      <a:fillRect/>
                    </a:stretch>
                  </pic:blipFill>
                  <pic:spPr>
                    <a:xfrm>
                      <a:off x="0" y="0"/>
                      <a:ext cx="5248910" cy="4641850"/>
                    </a:xfrm>
                    <a:prstGeom prst="rect">
                      <a:avLst/>
                    </a:prstGeom>
                  </pic:spPr>
                </pic:pic>
              </a:graphicData>
            </a:graphic>
          </wp:inline>
        </w:drawing>
      </w:r>
    </w:p>
    <w:p>
      <w:pPr>
        <w:ind w:left="641" w:hanging="641" w:hangingChars="213"/>
        <w:jc w:val="center"/>
        <w:rPr>
          <w:rFonts w:hint="eastAsia" w:ascii="仿宋" w:hAnsi="仿宋" w:eastAsia="仿宋" w:cs="仿宋"/>
          <w:b/>
          <w:bCs/>
          <w:sz w:val="30"/>
          <w:szCs w:val="30"/>
        </w:rPr>
      </w:pPr>
    </w:p>
    <w:p>
      <w:pPr>
        <w:ind w:left="641" w:hanging="641" w:hangingChars="213"/>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 xml:space="preserve">   </w:t>
      </w:r>
    </w:p>
    <w:p>
      <w:pPr>
        <w:ind w:left="641" w:hanging="641" w:hangingChars="213"/>
        <w:jc w:val="center"/>
        <w:rPr>
          <w:rFonts w:hint="eastAsia" w:ascii="仿宋" w:hAnsi="仿宋" w:eastAsia="仿宋" w:cs="仿宋"/>
          <w:b/>
          <w:bCs/>
          <w:sz w:val="30"/>
          <w:szCs w:val="30"/>
          <w:lang w:val="en-US" w:eastAsia="zh-CN"/>
        </w:rPr>
      </w:pPr>
    </w:p>
    <w:p>
      <w:pPr>
        <w:ind w:left="641" w:hanging="641" w:hangingChars="213"/>
        <w:jc w:val="center"/>
        <w:rPr>
          <w:rFonts w:hint="eastAsia" w:ascii="仿宋" w:hAnsi="仿宋" w:eastAsia="仿宋" w:cs="仿宋"/>
          <w:b/>
          <w:bCs/>
          <w:sz w:val="30"/>
          <w:szCs w:val="30"/>
          <w:lang w:val="en-US" w:eastAsia="zh-CN"/>
        </w:rPr>
      </w:pPr>
    </w:p>
    <w:p>
      <w:pPr>
        <w:ind w:left="641" w:hanging="641" w:hangingChars="213"/>
        <w:jc w:val="center"/>
        <w:rPr>
          <w:rFonts w:hint="eastAsia" w:ascii="仿宋" w:hAnsi="仿宋" w:eastAsia="仿宋" w:cs="仿宋"/>
          <w:b/>
          <w:bCs/>
          <w:sz w:val="30"/>
          <w:szCs w:val="30"/>
          <w:lang w:val="en-US" w:eastAsia="zh-CN"/>
        </w:rPr>
      </w:pPr>
    </w:p>
    <w:p>
      <w:pPr>
        <w:ind w:left="641" w:hanging="641" w:hangingChars="213"/>
        <w:jc w:val="center"/>
        <w:rPr>
          <w:rFonts w:hint="eastAsia" w:ascii="仿宋" w:hAnsi="仿宋" w:eastAsia="仿宋" w:cs="仿宋"/>
          <w:b/>
          <w:bCs/>
          <w:sz w:val="30"/>
          <w:szCs w:val="30"/>
          <w:lang w:val="en-US" w:eastAsia="zh-CN"/>
        </w:rPr>
      </w:pPr>
    </w:p>
    <w:p>
      <w:pPr>
        <w:ind w:left="641" w:hanging="641" w:hangingChars="213"/>
        <w:jc w:val="center"/>
        <w:rPr>
          <w:rFonts w:hint="eastAsia" w:ascii="仿宋" w:hAnsi="仿宋" w:eastAsia="仿宋" w:cs="仿宋"/>
          <w:b/>
          <w:bCs/>
          <w:sz w:val="30"/>
          <w:szCs w:val="30"/>
          <w:lang w:val="en-US" w:eastAsia="zh-CN"/>
        </w:rPr>
      </w:pPr>
    </w:p>
    <w:p>
      <w:pPr>
        <w:ind w:left="641" w:hanging="641" w:hangingChars="213"/>
        <w:jc w:val="center"/>
        <w:rPr>
          <w:rFonts w:hint="eastAsia" w:ascii="仿宋" w:hAnsi="仿宋" w:eastAsia="仿宋" w:cs="仿宋"/>
          <w:b/>
          <w:bCs/>
          <w:sz w:val="30"/>
          <w:szCs w:val="30"/>
          <w:lang w:val="en-US" w:eastAsia="zh-CN"/>
        </w:rPr>
      </w:pPr>
    </w:p>
    <w:p>
      <w:pPr>
        <w:ind w:left="641" w:hanging="641" w:hangingChars="213"/>
        <w:jc w:val="center"/>
        <w:rPr>
          <w:rFonts w:hint="eastAsia" w:ascii="仿宋" w:hAnsi="仿宋" w:eastAsia="仿宋" w:cs="仿宋"/>
          <w:b/>
          <w:bCs/>
          <w:sz w:val="30"/>
          <w:szCs w:val="30"/>
          <w:lang w:val="en-US" w:eastAsia="zh-CN"/>
        </w:rPr>
      </w:pPr>
    </w:p>
    <w:p>
      <w:pPr>
        <w:numPr>
          <w:ilvl w:val="0"/>
          <w:numId w:val="3"/>
        </w:numPr>
        <w:spacing w:line="560" w:lineRule="exact"/>
        <w:ind w:left="-430" w:leftChars="0" w:right="-210" w:rightChars="-100" w:firstLine="640" w:firstLineChars="0"/>
        <w:jc w:val="left"/>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《重点项目绩效目标表》</w:t>
      </w:r>
    </w:p>
    <w:p>
      <w:pPr>
        <w:widowControl w:val="0"/>
        <w:numPr>
          <w:ilvl w:val="0"/>
          <w:numId w:val="0"/>
        </w:numPr>
        <w:spacing w:line="560" w:lineRule="exact"/>
        <w:ind w:right="-210" w:rightChars="-100"/>
        <w:jc w:val="left"/>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drawing>
          <wp:anchor distT="0" distB="0" distL="114300" distR="114300" simplePos="0" relativeHeight="251661312" behindDoc="0" locked="0" layoutInCell="1" allowOverlap="1">
            <wp:simplePos x="0" y="0"/>
            <wp:positionH relativeFrom="column">
              <wp:posOffset>171450</wp:posOffset>
            </wp:positionH>
            <wp:positionV relativeFrom="page">
              <wp:posOffset>1352550</wp:posOffset>
            </wp:positionV>
            <wp:extent cx="5269865" cy="6557010"/>
            <wp:effectExtent l="0" t="0" r="6985" b="15240"/>
            <wp:wrapSquare wrapText="bothSides"/>
            <wp:docPr id="19" name="图片 19" descr="004509555fe90da079a720ec6fd9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004509555fe90da079a720ec6fd9367"/>
                    <pic:cNvPicPr>
                      <a:picLocks noChangeAspect="1"/>
                    </pic:cNvPicPr>
                  </pic:nvPicPr>
                  <pic:blipFill>
                    <a:blip r:embed="rId14"/>
                    <a:stretch>
                      <a:fillRect/>
                    </a:stretch>
                  </pic:blipFill>
                  <pic:spPr>
                    <a:xfrm>
                      <a:off x="0" y="0"/>
                      <a:ext cx="5269865" cy="655701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210" w:rightChars="-100"/>
        <w:jc w:val="left"/>
        <w:textAlignment w:val="auto"/>
        <w:rPr>
          <w:rFonts w:hint="eastAsia" w:ascii="仿宋" w:hAnsi="仿宋" w:eastAsia="仿宋" w:cs="仿宋"/>
          <w:color w:val="000000" w:themeColor="text1"/>
          <w:sz w:val="32"/>
          <w:szCs w:val="32"/>
          <w:lang w:val="en-US" w:eastAsia="zh-CN"/>
        </w:rPr>
      </w:pPr>
    </w:p>
    <w:p>
      <w:pPr>
        <w:widowControl w:val="0"/>
        <w:numPr>
          <w:ilvl w:val="0"/>
          <w:numId w:val="0"/>
        </w:numPr>
        <w:spacing w:line="560" w:lineRule="exact"/>
        <w:ind w:right="-210" w:rightChars="-100"/>
        <w:jc w:val="left"/>
        <w:rPr>
          <w:rFonts w:hint="eastAsia" w:ascii="仿宋" w:hAnsi="仿宋" w:eastAsia="仿宋" w:cs="仿宋"/>
          <w:color w:val="000000" w:themeColor="text1"/>
          <w:sz w:val="32"/>
          <w:szCs w:val="32"/>
          <w:lang w:val="en-US" w:eastAsia="zh-CN"/>
        </w:rPr>
      </w:pPr>
    </w:p>
    <w:p>
      <w:pPr>
        <w:widowControl w:val="0"/>
        <w:numPr>
          <w:ilvl w:val="0"/>
          <w:numId w:val="0"/>
        </w:numPr>
        <w:spacing w:line="560" w:lineRule="exact"/>
        <w:ind w:right="-210" w:rightChars="-100"/>
        <w:jc w:val="left"/>
        <w:rPr>
          <w:rFonts w:hint="eastAsia" w:ascii="仿宋" w:hAnsi="仿宋" w:eastAsia="仿宋" w:cs="仿宋"/>
          <w:color w:val="000000" w:themeColor="text1"/>
          <w:sz w:val="32"/>
          <w:szCs w:val="32"/>
          <w:lang w:val="en-US" w:eastAsia="zh-CN"/>
        </w:rPr>
      </w:pPr>
    </w:p>
    <w:p>
      <w:pPr>
        <w:ind w:left="641" w:hanging="641" w:hangingChars="213"/>
        <w:jc w:val="center"/>
        <w:rPr>
          <w:rFonts w:hint="eastAsia" w:ascii="仿宋" w:hAnsi="仿宋" w:eastAsia="仿宋" w:cs="仿宋"/>
          <w:b/>
          <w:bCs/>
          <w:sz w:val="30"/>
          <w:szCs w:val="30"/>
          <w:lang w:val="en-US" w:eastAsia="zh-CN"/>
        </w:rPr>
      </w:pPr>
    </w:p>
    <w:p>
      <w:pPr>
        <w:ind w:left="641" w:hanging="641" w:hangingChars="213"/>
        <w:jc w:val="center"/>
        <w:rPr>
          <w:rFonts w:hint="eastAsia" w:ascii="仿宋" w:hAnsi="仿宋" w:eastAsia="仿宋" w:cs="仿宋"/>
          <w:b/>
          <w:bCs/>
          <w:sz w:val="30"/>
          <w:szCs w:val="30"/>
        </w:rPr>
      </w:pPr>
      <w:r>
        <w:rPr>
          <w:rFonts w:hint="eastAsia" w:ascii="仿宋" w:hAnsi="仿宋" w:eastAsia="仿宋" w:cs="仿宋"/>
          <w:b/>
          <w:bCs/>
          <w:sz w:val="30"/>
          <w:szCs w:val="30"/>
        </w:rPr>
        <w:t>第</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部分 兴国县市场监督管理局部门预算情况说明</w:t>
      </w:r>
    </w:p>
    <w:p>
      <w:pPr>
        <w:spacing w:line="560" w:lineRule="exact"/>
        <w:ind w:right="-210" w:rightChars="-100" w:firstLine="602" w:firstLineChars="200"/>
        <w:jc w:val="left"/>
        <w:rPr>
          <w:rFonts w:hint="eastAsia" w:ascii="仿宋" w:hAnsi="仿宋" w:eastAsia="仿宋" w:cs="仿宋"/>
          <w:b/>
          <w:sz w:val="30"/>
          <w:szCs w:val="30"/>
        </w:rPr>
      </w:pPr>
      <w:r>
        <w:rPr>
          <w:rFonts w:hint="eastAsia" w:ascii="仿宋" w:hAnsi="仿宋" w:eastAsia="仿宋" w:cs="仿宋"/>
          <w:b/>
          <w:sz w:val="30"/>
          <w:szCs w:val="30"/>
        </w:rPr>
        <w:t>一、202</w:t>
      </w:r>
      <w:r>
        <w:rPr>
          <w:rFonts w:hint="eastAsia" w:ascii="仿宋" w:hAnsi="仿宋" w:eastAsia="仿宋" w:cs="仿宋"/>
          <w:b/>
          <w:sz w:val="30"/>
          <w:szCs w:val="30"/>
          <w:lang w:val="en-US" w:eastAsia="zh-CN"/>
        </w:rPr>
        <w:t>1</w:t>
      </w:r>
      <w:r>
        <w:rPr>
          <w:rFonts w:hint="eastAsia" w:ascii="仿宋" w:hAnsi="仿宋" w:eastAsia="仿宋" w:cs="仿宋"/>
          <w:b/>
          <w:sz w:val="30"/>
          <w:szCs w:val="30"/>
        </w:rPr>
        <w:t>年部门预算收支情况说明</w:t>
      </w:r>
    </w:p>
    <w:p>
      <w:pPr>
        <w:widowControl/>
        <w:spacing w:line="580" w:lineRule="exact"/>
        <w:ind w:firstLine="640"/>
        <w:jc w:val="left"/>
        <w:rPr>
          <w:rFonts w:hint="eastAsia" w:ascii="仿宋" w:hAnsi="仿宋" w:eastAsia="仿宋" w:cs="仿宋"/>
          <w:b/>
          <w:sz w:val="30"/>
          <w:szCs w:val="30"/>
        </w:rPr>
      </w:pPr>
      <w:r>
        <w:rPr>
          <w:rFonts w:hint="eastAsia" w:ascii="仿宋" w:hAnsi="仿宋" w:eastAsia="仿宋" w:cs="仿宋"/>
          <w:b/>
          <w:sz w:val="30"/>
          <w:szCs w:val="30"/>
        </w:rPr>
        <w:t>（一）收入预算情况</w:t>
      </w:r>
    </w:p>
    <w:p>
      <w:pPr>
        <w:spacing w:line="560" w:lineRule="exact"/>
        <w:ind w:right="-210" w:rightChars="-100" w:firstLine="600" w:firstLineChars="200"/>
        <w:jc w:val="left"/>
        <w:rPr>
          <w:rFonts w:hint="eastAsia" w:ascii="仿宋" w:hAnsi="仿宋" w:eastAsia="仿宋" w:cs="仿宋"/>
          <w:sz w:val="30"/>
          <w:szCs w:val="30"/>
        </w:rPr>
      </w:pPr>
      <w:r>
        <w:rPr>
          <w:rFonts w:hint="eastAsia" w:ascii="仿宋" w:hAnsi="仿宋" w:eastAsia="仿宋" w:cs="仿宋"/>
          <w:sz w:val="30"/>
          <w:szCs w:val="30"/>
        </w:rPr>
        <w:t>2021年兴国县市场监督管理局收入预算总额为2410.81万元，较上年预算安排减少32.05万。</w:t>
      </w:r>
      <w:r>
        <w:rPr>
          <w:rFonts w:hint="eastAsia" w:ascii="仿宋" w:hAnsi="仿宋" w:eastAsia="仿宋" w:cs="仿宋"/>
          <w:b/>
          <w:bCs/>
          <w:sz w:val="30"/>
          <w:szCs w:val="30"/>
        </w:rPr>
        <w:t>主要原因为</w:t>
      </w:r>
      <w:r>
        <w:rPr>
          <w:rFonts w:hint="eastAsia" w:ascii="仿宋" w:hAnsi="仿宋" w:eastAsia="仿宋" w:cs="仿宋"/>
          <w:sz w:val="30"/>
          <w:szCs w:val="30"/>
        </w:rPr>
        <w:t>：上年原有的部分专项资金于2021年预算中根据政府工作安排进行调整，不再归属我部门专项资金范围。</w:t>
      </w:r>
    </w:p>
    <w:p>
      <w:pPr>
        <w:spacing w:line="560" w:lineRule="exact"/>
        <w:ind w:right="-210" w:rightChars="-100" w:firstLine="600" w:firstLineChars="200"/>
        <w:jc w:val="left"/>
        <w:rPr>
          <w:rFonts w:hint="eastAsia" w:ascii="仿宋" w:hAnsi="仿宋" w:eastAsia="仿宋" w:cs="仿宋"/>
          <w:sz w:val="30"/>
          <w:szCs w:val="30"/>
        </w:rPr>
      </w:pPr>
      <w:r>
        <w:rPr>
          <w:rFonts w:hint="eastAsia" w:ascii="仿宋" w:hAnsi="仿宋" w:eastAsia="仿宋" w:cs="仿宋"/>
          <w:sz w:val="30"/>
          <w:szCs w:val="30"/>
        </w:rPr>
        <w:t>其中：财政拨款收入2400.81万元，占收入预算总额的99.59%，其他收入为10万元，占收入预算总额的0.41%。财政拨款收入包括财政拨款（补助）收入2200.81万元、纳入预算管理的非税收入200万元。</w:t>
      </w:r>
    </w:p>
    <w:p>
      <w:pPr>
        <w:widowControl/>
        <w:numPr>
          <w:ilvl w:val="0"/>
          <w:numId w:val="4"/>
        </w:numPr>
        <w:spacing w:line="580" w:lineRule="exact"/>
        <w:ind w:firstLine="640"/>
        <w:jc w:val="left"/>
        <w:rPr>
          <w:rFonts w:hint="eastAsia" w:ascii="仿宋" w:hAnsi="仿宋" w:eastAsia="仿宋" w:cs="仿宋"/>
          <w:b/>
          <w:sz w:val="30"/>
          <w:szCs w:val="30"/>
        </w:rPr>
      </w:pPr>
      <w:r>
        <w:rPr>
          <w:rFonts w:hint="eastAsia" w:ascii="仿宋" w:hAnsi="仿宋" w:eastAsia="仿宋" w:cs="仿宋"/>
          <w:b/>
          <w:sz w:val="30"/>
          <w:szCs w:val="30"/>
        </w:rPr>
        <w:t>支出预算情况</w:t>
      </w:r>
    </w:p>
    <w:p>
      <w:pPr>
        <w:spacing w:line="560" w:lineRule="exact"/>
        <w:ind w:right="-210" w:rightChars="-100" w:firstLine="600" w:firstLineChars="200"/>
        <w:jc w:val="left"/>
        <w:rPr>
          <w:rFonts w:hint="eastAsia" w:ascii="仿宋" w:hAnsi="仿宋" w:eastAsia="仿宋" w:cs="仿宋"/>
          <w:sz w:val="30"/>
          <w:szCs w:val="30"/>
        </w:rPr>
      </w:pPr>
      <w:r>
        <w:rPr>
          <w:rFonts w:hint="eastAsia" w:ascii="仿宋" w:hAnsi="仿宋" w:eastAsia="仿宋" w:cs="仿宋"/>
          <w:sz w:val="30"/>
          <w:szCs w:val="30"/>
        </w:rPr>
        <w:t>2021年兴国县市场监督管理局支出预算总额为2410.81万元，较上年预算安排减少32.05万。</w:t>
      </w:r>
      <w:r>
        <w:rPr>
          <w:rFonts w:hint="eastAsia" w:ascii="仿宋" w:hAnsi="仿宋" w:eastAsia="仿宋" w:cs="仿宋"/>
          <w:b/>
          <w:bCs/>
          <w:sz w:val="30"/>
          <w:szCs w:val="30"/>
        </w:rPr>
        <w:t>主要原因为</w:t>
      </w:r>
      <w:r>
        <w:rPr>
          <w:rFonts w:hint="eastAsia" w:ascii="仿宋" w:hAnsi="仿宋" w:eastAsia="仿宋" w:cs="仿宋"/>
          <w:sz w:val="30"/>
          <w:szCs w:val="30"/>
        </w:rPr>
        <w:t>：上年原有的部分专项资金于2021年预算中根据政府工作安排进行调整，不再归属我部门专项资金范围。</w:t>
      </w:r>
    </w:p>
    <w:p>
      <w:pPr>
        <w:spacing w:line="560" w:lineRule="exact"/>
        <w:ind w:right="-210" w:rightChars="-100" w:firstLine="602" w:firstLineChars="200"/>
        <w:jc w:val="left"/>
        <w:rPr>
          <w:rFonts w:hint="eastAsia" w:ascii="仿宋" w:hAnsi="仿宋" w:eastAsia="仿宋" w:cs="仿宋"/>
          <w:sz w:val="30"/>
          <w:szCs w:val="30"/>
        </w:rPr>
      </w:pPr>
      <w:r>
        <w:rPr>
          <w:rFonts w:hint="eastAsia" w:ascii="仿宋" w:hAnsi="仿宋" w:eastAsia="仿宋" w:cs="仿宋"/>
          <w:b/>
          <w:sz w:val="30"/>
          <w:szCs w:val="30"/>
        </w:rPr>
        <w:t>按支出项目类别划分：</w:t>
      </w:r>
      <w:r>
        <w:rPr>
          <w:rFonts w:hint="eastAsia" w:ascii="仿宋" w:hAnsi="仿宋" w:eastAsia="仿宋" w:cs="仿宋"/>
          <w:sz w:val="30"/>
          <w:szCs w:val="30"/>
        </w:rPr>
        <w:t>基本支出1797.81万元，占支出预算总额的74.57%，包括工资福利支出1596.56万元、商品和服务支出163.56万元、对个人和家庭的补助支出37.69万元；项目支出603万元，占支出预算总额的25.01%，包括行政事业性项目支出403万元；成本性支出200万元。其他资金支出10万元，占支出预算总额的0.41%。</w:t>
      </w:r>
    </w:p>
    <w:p>
      <w:pPr>
        <w:spacing w:line="560" w:lineRule="exact"/>
        <w:ind w:right="-210" w:rightChars="-100" w:firstLine="602" w:firstLineChars="200"/>
        <w:jc w:val="left"/>
        <w:rPr>
          <w:rFonts w:hint="eastAsia" w:ascii="仿宋" w:hAnsi="仿宋" w:eastAsia="仿宋" w:cs="仿宋"/>
          <w:sz w:val="30"/>
          <w:szCs w:val="30"/>
        </w:rPr>
      </w:pPr>
      <w:r>
        <w:rPr>
          <w:rFonts w:hint="eastAsia" w:ascii="仿宋" w:hAnsi="仿宋" w:eastAsia="仿宋" w:cs="仿宋"/>
          <w:b/>
          <w:sz w:val="30"/>
          <w:szCs w:val="30"/>
        </w:rPr>
        <w:t>按支出功能科目划分：</w:t>
      </w:r>
      <w:r>
        <w:rPr>
          <w:rFonts w:hint="eastAsia" w:ascii="仿宋" w:hAnsi="仿宋" w:eastAsia="仿宋" w:cs="仿宋"/>
          <w:sz w:val="30"/>
          <w:szCs w:val="30"/>
        </w:rPr>
        <w:t>一般公共服务支出1284.87万元，占支出预算总额的53.3%；社会保障和就业225.55万元，占支出预算总额的9.36%；住房保障支出116.27万元，占支出预算总额的4.82%；医疗卫生支出171.12万元，占支出预算总额的7.1%；专项工作经费支出403万元，占支出预算总额的16.72%，罚没收入支出200万元，占支出预算总额的8.3%，其他资金支出10万元，占支出预算总额的0.41%。</w:t>
      </w:r>
    </w:p>
    <w:p>
      <w:pPr>
        <w:widowControl/>
        <w:spacing w:line="580" w:lineRule="exact"/>
        <w:ind w:firstLine="602" w:firstLineChars="200"/>
        <w:jc w:val="left"/>
        <w:rPr>
          <w:rFonts w:hint="eastAsia" w:ascii="仿宋" w:hAnsi="仿宋" w:eastAsia="仿宋" w:cs="仿宋"/>
          <w:b/>
          <w:sz w:val="30"/>
          <w:szCs w:val="30"/>
        </w:rPr>
      </w:pPr>
      <w:r>
        <w:rPr>
          <w:rFonts w:hint="eastAsia" w:ascii="仿宋" w:hAnsi="仿宋" w:eastAsia="仿宋" w:cs="仿宋"/>
          <w:b/>
          <w:sz w:val="30"/>
          <w:szCs w:val="30"/>
        </w:rPr>
        <w:t>（三）财政拨款（补助）支出情况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right="-210" w:rightChars="-100" w:firstLine="600" w:firstLineChars="200"/>
        <w:jc w:val="left"/>
        <w:rPr>
          <w:rFonts w:hint="eastAsia" w:ascii="仿宋" w:hAnsi="仿宋" w:eastAsia="仿宋" w:cs="仿宋"/>
          <w:sz w:val="30"/>
          <w:szCs w:val="30"/>
        </w:rPr>
      </w:pPr>
      <w:r>
        <w:rPr>
          <w:rFonts w:hint="eastAsia" w:ascii="仿宋" w:hAnsi="仿宋" w:eastAsia="仿宋" w:cs="仿宋"/>
          <w:sz w:val="30"/>
          <w:szCs w:val="30"/>
        </w:rPr>
        <w:t>2021年兴国县市场监督管理局财政拨款（补助）支出预算2200.81万元，占支出预算总额的91.29%，具体为：一般公共服务支出1284.87万元，占财政拨款（补助）支出的58.38%；社会保障和就业225.55万元，占财政拨款（补助）支出的10.25%；住房保障支出116.27万元，占支出预算总额的5.28%；医疗卫生支出171.12万元，占财政拨款（补助）支出的7.78%；专项工作经费支出403万元，占财政拨款（补助）支出的18.31%.</w:t>
      </w:r>
    </w:p>
    <w:p>
      <w:pPr>
        <w:widowControl/>
        <w:spacing w:line="580" w:lineRule="exact"/>
        <w:ind w:firstLine="640"/>
        <w:jc w:val="left"/>
        <w:rPr>
          <w:rFonts w:hint="eastAsia" w:ascii="仿宋" w:hAnsi="仿宋" w:eastAsia="仿宋" w:cs="仿宋"/>
          <w:b/>
          <w:sz w:val="30"/>
          <w:szCs w:val="30"/>
        </w:rPr>
      </w:pPr>
      <w:r>
        <w:rPr>
          <w:rFonts w:hint="eastAsia" w:ascii="仿宋" w:hAnsi="仿宋" w:eastAsia="仿宋" w:cs="仿宋"/>
          <w:b/>
          <w:sz w:val="30"/>
          <w:szCs w:val="30"/>
        </w:rPr>
        <w:t>（四）政府性基金情况</w:t>
      </w:r>
    </w:p>
    <w:p>
      <w:pPr>
        <w:ind w:firstLine="750" w:firstLineChars="250"/>
        <w:rPr>
          <w:rFonts w:hint="eastAsia" w:ascii="仿宋" w:hAnsi="仿宋" w:eastAsia="仿宋" w:cs="仿宋"/>
          <w:sz w:val="30"/>
          <w:szCs w:val="30"/>
        </w:rPr>
      </w:pPr>
      <w:r>
        <w:rPr>
          <w:rFonts w:hint="eastAsia" w:ascii="仿宋" w:hAnsi="仿宋" w:eastAsia="仿宋" w:cs="仿宋"/>
          <w:sz w:val="30"/>
          <w:szCs w:val="30"/>
        </w:rPr>
        <w:t>无政府性基金预算拨款安排的支出。</w:t>
      </w:r>
    </w:p>
    <w:p>
      <w:pPr>
        <w:widowControl/>
        <w:spacing w:line="580" w:lineRule="exact"/>
        <w:ind w:firstLine="640"/>
        <w:jc w:val="left"/>
        <w:rPr>
          <w:rFonts w:hint="eastAsia" w:ascii="仿宋" w:hAnsi="仿宋" w:eastAsia="仿宋" w:cs="仿宋"/>
          <w:b/>
          <w:sz w:val="30"/>
          <w:szCs w:val="30"/>
        </w:rPr>
      </w:pPr>
      <w:r>
        <w:rPr>
          <w:rFonts w:hint="eastAsia" w:ascii="仿宋" w:hAnsi="仿宋" w:eastAsia="仿宋" w:cs="仿宋"/>
          <w:b/>
          <w:sz w:val="30"/>
          <w:szCs w:val="30"/>
        </w:rPr>
        <w:t>（五）机关运行经费等重要事项的说明</w:t>
      </w:r>
    </w:p>
    <w:p>
      <w:pPr>
        <w:ind w:firstLine="426" w:firstLineChars="142"/>
        <w:rPr>
          <w:rFonts w:hint="eastAsia" w:ascii="仿宋" w:hAnsi="仿宋" w:eastAsia="仿宋" w:cs="仿宋"/>
          <w:sz w:val="30"/>
          <w:szCs w:val="30"/>
        </w:rPr>
      </w:pPr>
      <w:r>
        <w:rPr>
          <w:rFonts w:hint="eastAsia" w:ascii="仿宋" w:hAnsi="仿宋" w:eastAsia="仿宋" w:cs="仿宋"/>
          <w:sz w:val="30"/>
          <w:szCs w:val="30"/>
        </w:rPr>
        <w:t>2021年部门或单位机关运行费预算163.56万元，比2020年预算增加15.24万元，增加10.28％，原因为：2021年机构改革职能及人员增加。其中：办公费13万元，印刷费1.3万元，水费1.5万元，电费10.5万元，邮电费1.1万元，取暖费6万元，差旅费15万元，维修费3万元，培训费1万元，公务接待费30万元，工会经费3万元，福利费2万元，公务交通补贴68.76万元，公车运行维护费5万元，其他商品服务支出1.4万元。</w:t>
      </w:r>
    </w:p>
    <w:p>
      <w:pPr>
        <w:widowControl/>
        <w:spacing w:line="580" w:lineRule="exact"/>
        <w:ind w:firstLine="602" w:firstLineChars="200"/>
        <w:jc w:val="left"/>
        <w:rPr>
          <w:rFonts w:hint="eastAsia" w:ascii="仿宋" w:hAnsi="仿宋" w:eastAsia="仿宋" w:cs="仿宋"/>
          <w:b/>
          <w:sz w:val="30"/>
          <w:szCs w:val="30"/>
        </w:rPr>
      </w:pPr>
      <w:r>
        <w:rPr>
          <w:rFonts w:hint="eastAsia" w:ascii="仿宋" w:hAnsi="仿宋" w:eastAsia="仿宋" w:cs="仿宋"/>
          <w:b/>
          <w:sz w:val="30"/>
          <w:szCs w:val="30"/>
        </w:rPr>
        <w:t>（六）政府采购情况</w:t>
      </w:r>
    </w:p>
    <w:p>
      <w:pPr>
        <w:ind w:firstLine="567" w:firstLineChars="189"/>
        <w:rPr>
          <w:rFonts w:hint="eastAsia" w:ascii="仿宋" w:hAnsi="仿宋" w:eastAsia="仿宋" w:cs="仿宋"/>
          <w:sz w:val="30"/>
          <w:szCs w:val="30"/>
        </w:rPr>
      </w:pPr>
      <w:r>
        <w:rPr>
          <w:rFonts w:hint="eastAsia" w:ascii="仿宋" w:hAnsi="仿宋" w:eastAsia="仿宋" w:cs="仿宋"/>
          <w:sz w:val="30"/>
          <w:szCs w:val="30"/>
        </w:rPr>
        <w:t>2021年兴国县市场监管局部门政府采购总额33万元，其中：政府采购货物预算33万元。</w:t>
      </w:r>
    </w:p>
    <w:p>
      <w:pPr>
        <w:widowControl/>
        <w:spacing w:line="580" w:lineRule="exact"/>
        <w:ind w:firstLine="753" w:firstLineChars="250"/>
        <w:jc w:val="left"/>
        <w:rPr>
          <w:rFonts w:hint="eastAsia" w:ascii="仿宋" w:hAnsi="仿宋" w:eastAsia="仿宋" w:cs="仿宋"/>
          <w:b/>
          <w:sz w:val="30"/>
          <w:szCs w:val="30"/>
        </w:rPr>
      </w:pPr>
      <w:r>
        <w:rPr>
          <w:rFonts w:hint="eastAsia" w:ascii="仿宋" w:hAnsi="仿宋" w:eastAsia="仿宋" w:cs="仿宋"/>
          <w:b/>
          <w:sz w:val="30"/>
          <w:szCs w:val="30"/>
        </w:rPr>
        <w:t>（七）国有资产占有使用情况</w:t>
      </w:r>
    </w:p>
    <w:p>
      <w:pPr>
        <w:widowControl/>
        <w:spacing w:line="580" w:lineRule="exact"/>
        <w:ind w:firstLine="750" w:firstLineChars="250"/>
        <w:jc w:val="left"/>
        <w:rPr>
          <w:rFonts w:hint="eastAsia" w:ascii="仿宋" w:hAnsi="仿宋" w:eastAsia="仿宋" w:cs="仿宋"/>
          <w:sz w:val="30"/>
          <w:szCs w:val="30"/>
        </w:rPr>
      </w:pPr>
      <w:r>
        <w:rPr>
          <w:rFonts w:hint="eastAsia" w:ascii="仿宋" w:hAnsi="仿宋" w:eastAsia="仿宋" w:cs="仿宋"/>
          <w:sz w:val="30"/>
          <w:szCs w:val="30"/>
        </w:rPr>
        <w:t>截至2020年12月31日，部门共有车辆</w:t>
      </w:r>
      <w:r>
        <w:rPr>
          <w:rFonts w:hint="eastAsia" w:ascii="仿宋" w:hAnsi="仿宋" w:eastAsia="仿宋" w:cs="仿宋"/>
          <w:sz w:val="30"/>
          <w:szCs w:val="30"/>
          <w:u w:val="single"/>
        </w:rPr>
        <w:t xml:space="preserve"> 18</w:t>
      </w:r>
      <w:r>
        <w:rPr>
          <w:rFonts w:hint="eastAsia" w:ascii="仿宋" w:hAnsi="仿宋" w:eastAsia="仿宋" w:cs="仿宋"/>
          <w:sz w:val="30"/>
          <w:szCs w:val="30"/>
        </w:rPr>
        <w:t>辆，其中，一般公务用车 0 辆，执法执勤用车 18 辆。</w:t>
      </w:r>
    </w:p>
    <w:p>
      <w:pPr>
        <w:widowControl/>
        <w:spacing w:line="580" w:lineRule="exact"/>
        <w:ind w:firstLine="900" w:firstLineChars="300"/>
        <w:jc w:val="left"/>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年部门预算安排购置车辆</w:t>
      </w:r>
      <w:r>
        <w:rPr>
          <w:rFonts w:hint="eastAsia" w:ascii="仿宋" w:hAnsi="仿宋" w:eastAsia="仿宋" w:cs="仿宋"/>
          <w:sz w:val="30"/>
          <w:szCs w:val="30"/>
          <w:u w:val="single"/>
        </w:rPr>
        <w:t xml:space="preserve">  0   </w:t>
      </w:r>
      <w:r>
        <w:rPr>
          <w:rFonts w:hint="eastAsia" w:ascii="仿宋" w:hAnsi="仿宋" w:eastAsia="仿宋" w:cs="仿宋"/>
          <w:sz w:val="30"/>
          <w:szCs w:val="30"/>
        </w:rPr>
        <w:t>辆，无安排购置单位价值200万元以上大型设备。</w:t>
      </w:r>
    </w:p>
    <w:p>
      <w:pPr>
        <w:widowControl/>
        <w:numPr>
          <w:ilvl w:val="0"/>
          <w:numId w:val="5"/>
        </w:numPr>
        <w:spacing w:line="580" w:lineRule="exact"/>
        <w:ind w:firstLine="602" w:firstLineChars="200"/>
        <w:jc w:val="left"/>
        <w:rPr>
          <w:rFonts w:hint="eastAsia" w:ascii="仿宋" w:hAnsi="仿宋" w:eastAsia="仿宋" w:cs="仿宋"/>
          <w:b/>
          <w:sz w:val="30"/>
          <w:szCs w:val="30"/>
        </w:rPr>
      </w:pPr>
      <w:r>
        <w:rPr>
          <w:rFonts w:hint="eastAsia" w:ascii="仿宋" w:hAnsi="仿宋" w:eastAsia="仿宋" w:cs="仿宋"/>
          <w:b/>
          <w:sz w:val="30"/>
          <w:szCs w:val="30"/>
        </w:rPr>
        <w:t>重点项目预算的绩效目标等预算绩效情况说明</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2021年实行绩效目标管理的项目1个，涉及资金172万元：</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项目名称：</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1、项目概述：对我县食品、药品、医疗器械、保健品、化妆品的质量状况进行监管，对食品、药品、医疗器械、化妆品进行监督抽验，以全面掌握我县食品药品质量安全状况。</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2.立项依据：根据赣府办发【2017】109号、赣市府办字【2015】86号、兴办字【2019】92号文件精神立项。</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3.实施主体：兴国县市场监督管理局</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4、实施周期：2021年1月1日至2021年12月31日。</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5.年度预算安排：年度预算总安排172万元。</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6.年度绩效目标：以创建“国家食品安全示范城市”，保障我县食品安全为目标，通过对食品药品抽验，发现食品药品安全问题，及时控制苗头性、系统性、区域食品药品安全风险和问题，实现监督抽验、核查处置与信息公开职动机制，倒逼生产经营企业落实质量安全主体责任，进一步我县食品药品产业健康有序发展。</w:t>
      </w:r>
    </w:p>
    <w:p>
      <w:pPr>
        <w:widowControl/>
        <w:spacing w:line="580" w:lineRule="exact"/>
        <w:ind w:firstLine="640"/>
        <w:jc w:val="left"/>
        <w:rPr>
          <w:rFonts w:hint="eastAsia" w:ascii="仿宋" w:hAnsi="仿宋" w:eastAsia="仿宋" w:cs="仿宋"/>
          <w:b/>
          <w:sz w:val="30"/>
          <w:szCs w:val="30"/>
        </w:rPr>
      </w:pPr>
      <w:r>
        <w:rPr>
          <w:rFonts w:hint="eastAsia" w:ascii="仿宋" w:hAnsi="仿宋" w:eastAsia="仿宋" w:cs="仿宋"/>
          <w:b/>
          <w:sz w:val="30"/>
          <w:szCs w:val="30"/>
        </w:rPr>
        <w:t>二、2021年“三公”经费预算情况说明</w:t>
      </w:r>
    </w:p>
    <w:p>
      <w:pPr>
        <w:widowControl/>
        <w:spacing w:line="58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2021年兴国县市场监督管理稽查局“三公”经费一般公共预算安排104万元。其中：</w:t>
      </w:r>
    </w:p>
    <w:p>
      <w:pPr>
        <w:widowControl/>
        <w:spacing w:line="58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1.因公出国（境）费0万元，比上年增（减）0万元。</w:t>
      </w:r>
      <w:r>
        <w:rPr>
          <w:rFonts w:hint="eastAsia" w:ascii="仿宋" w:hAnsi="仿宋" w:eastAsia="仿宋" w:cs="仿宋"/>
          <w:sz w:val="30"/>
          <w:szCs w:val="30"/>
          <w:lang w:val="en-US" w:eastAsia="zh-CN"/>
        </w:rPr>
        <w:t>本部门无此类支出。</w:t>
      </w:r>
    </w:p>
    <w:p>
      <w:pPr>
        <w:widowControl/>
        <w:spacing w:line="580" w:lineRule="exact"/>
        <w:ind w:firstLine="750" w:firstLineChars="250"/>
        <w:jc w:val="left"/>
        <w:rPr>
          <w:rFonts w:hint="eastAsia" w:ascii="仿宋" w:hAnsi="仿宋" w:eastAsia="仿宋" w:cs="仿宋"/>
          <w:sz w:val="30"/>
          <w:szCs w:val="30"/>
        </w:rPr>
      </w:pPr>
      <w:r>
        <w:rPr>
          <w:rFonts w:hint="eastAsia" w:ascii="仿宋" w:hAnsi="仿宋" w:eastAsia="仿宋" w:cs="仿宋"/>
          <w:sz w:val="30"/>
          <w:szCs w:val="30"/>
        </w:rPr>
        <w:t>2.公务接待费30万元，比上年增加12万元，主要原因</w:t>
      </w:r>
    </w:p>
    <w:p>
      <w:pPr>
        <w:widowControl/>
        <w:spacing w:line="580" w:lineRule="exact"/>
        <w:jc w:val="left"/>
        <w:rPr>
          <w:rFonts w:hint="eastAsia" w:ascii="仿宋" w:hAnsi="仿宋" w:eastAsia="仿宋" w:cs="仿宋"/>
          <w:sz w:val="30"/>
          <w:szCs w:val="30"/>
        </w:rPr>
      </w:pPr>
      <w:r>
        <w:rPr>
          <w:rFonts w:hint="eastAsia" w:ascii="仿宋" w:hAnsi="仿宋" w:eastAsia="仿宋" w:cs="仿宋"/>
          <w:sz w:val="30"/>
          <w:szCs w:val="30"/>
        </w:rPr>
        <w:t>是：执法稽查局独立核算。</w:t>
      </w:r>
    </w:p>
    <w:p>
      <w:pPr>
        <w:widowControl/>
        <w:spacing w:line="580" w:lineRule="exact"/>
        <w:ind w:firstLine="750" w:firstLineChars="250"/>
        <w:jc w:val="left"/>
        <w:rPr>
          <w:rFonts w:hint="eastAsia" w:ascii="仿宋" w:hAnsi="仿宋" w:eastAsia="仿宋" w:cs="仿宋"/>
          <w:sz w:val="30"/>
          <w:szCs w:val="30"/>
        </w:rPr>
      </w:pPr>
      <w:r>
        <w:rPr>
          <w:rFonts w:hint="eastAsia" w:ascii="仿宋" w:hAnsi="仿宋" w:eastAsia="仿宋" w:cs="仿宋"/>
          <w:sz w:val="30"/>
          <w:szCs w:val="30"/>
        </w:rPr>
        <w:t>3.公务用车运行维护费74万元，比上年增加14万元，</w:t>
      </w:r>
    </w:p>
    <w:p>
      <w:pPr>
        <w:widowControl/>
        <w:spacing w:line="580" w:lineRule="exact"/>
        <w:jc w:val="left"/>
        <w:rPr>
          <w:rFonts w:hint="eastAsia" w:ascii="仿宋" w:hAnsi="仿宋" w:eastAsia="仿宋" w:cs="仿宋"/>
          <w:sz w:val="30"/>
          <w:szCs w:val="30"/>
          <w:lang w:eastAsia="zh-CN"/>
        </w:rPr>
      </w:pPr>
      <w:r>
        <w:rPr>
          <w:rFonts w:hint="eastAsia" w:ascii="仿宋" w:hAnsi="仿宋" w:eastAsia="仿宋" w:cs="仿宋"/>
          <w:sz w:val="30"/>
          <w:szCs w:val="30"/>
        </w:rPr>
        <w:t>主要原因是：执法车辆使用年限长，设施老旧，维修费等相关运行费用增加</w:t>
      </w:r>
      <w:r>
        <w:rPr>
          <w:rFonts w:hint="eastAsia" w:ascii="仿宋" w:hAnsi="仿宋" w:eastAsia="仿宋" w:cs="仿宋"/>
          <w:sz w:val="30"/>
          <w:szCs w:val="30"/>
          <w:lang w:eastAsia="zh-CN"/>
        </w:rPr>
        <w:t>。</w:t>
      </w:r>
    </w:p>
    <w:p>
      <w:pPr>
        <w:widowControl/>
        <w:spacing w:line="580" w:lineRule="exact"/>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4.</w:t>
      </w:r>
      <w:r>
        <w:rPr>
          <w:rFonts w:hint="eastAsia" w:ascii="仿宋" w:hAnsi="仿宋" w:eastAsia="仿宋" w:cs="仿宋"/>
          <w:sz w:val="30"/>
          <w:szCs w:val="30"/>
        </w:rPr>
        <w:t>公务用车购置</w:t>
      </w:r>
      <w:r>
        <w:rPr>
          <w:rFonts w:hint="eastAsia" w:ascii="仿宋" w:hAnsi="仿宋" w:eastAsia="仿宋" w:cs="仿宋"/>
          <w:sz w:val="30"/>
          <w:szCs w:val="30"/>
          <w:lang w:val="en-US" w:eastAsia="zh-CN"/>
        </w:rPr>
        <w:t>0</w:t>
      </w:r>
      <w:r>
        <w:rPr>
          <w:rFonts w:hint="eastAsia" w:ascii="仿宋" w:hAnsi="仿宋" w:eastAsia="仿宋" w:cs="仿宋"/>
          <w:sz w:val="30"/>
          <w:szCs w:val="30"/>
        </w:rPr>
        <w:t>万元,比上年增（减）</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r>
        <w:rPr>
          <w:rFonts w:hint="eastAsia" w:ascii="仿宋" w:hAnsi="仿宋" w:eastAsia="仿宋" w:cs="仿宋"/>
          <w:sz w:val="30"/>
          <w:szCs w:val="30"/>
          <w:lang w:val="en-US" w:eastAsia="zh-CN"/>
        </w:rPr>
        <w:t>本部门无此类支出。</w:t>
      </w:r>
    </w:p>
    <w:p>
      <w:pPr>
        <w:widowControl/>
        <w:spacing w:line="580" w:lineRule="exact"/>
        <w:jc w:val="center"/>
        <w:rPr>
          <w:rFonts w:hint="eastAsia" w:ascii="仿宋" w:hAnsi="仿宋" w:eastAsia="仿宋" w:cs="仿宋"/>
          <w:b/>
          <w:sz w:val="30"/>
          <w:szCs w:val="30"/>
        </w:rPr>
      </w:pPr>
      <w:r>
        <w:rPr>
          <w:rFonts w:hint="eastAsia" w:ascii="仿宋" w:hAnsi="仿宋" w:eastAsia="仿宋" w:cs="仿宋"/>
          <w:b/>
          <w:sz w:val="30"/>
          <w:szCs w:val="30"/>
        </w:rPr>
        <w:t>第四部分   名词解释</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一、收入科目</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（一）财政拨款：指县级财政当年拨付的资金。</w:t>
      </w:r>
    </w:p>
    <w:p>
      <w:pPr>
        <w:widowControl/>
        <w:spacing w:line="580" w:lineRule="exact"/>
        <w:ind w:firstLine="636"/>
        <w:jc w:val="left"/>
        <w:rPr>
          <w:rFonts w:hint="eastAsia" w:ascii="仿宋" w:hAnsi="仿宋" w:eastAsia="仿宋" w:cs="仿宋"/>
          <w:sz w:val="30"/>
          <w:szCs w:val="30"/>
        </w:rPr>
      </w:pPr>
      <w:r>
        <w:rPr>
          <w:rFonts w:hint="eastAsia" w:ascii="仿宋" w:hAnsi="仿宋" w:eastAsia="仿宋" w:cs="仿宋"/>
          <w:sz w:val="30"/>
          <w:szCs w:val="30"/>
        </w:rPr>
        <w:t>（二）事业收入：指事业单位开展专业业务活动及辅助活动取得的收入。</w:t>
      </w:r>
    </w:p>
    <w:p>
      <w:pPr>
        <w:widowControl/>
        <w:spacing w:line="580" w:lineRule="exact"/>
        <w:ind w:firstLine="636"/>
        <w:jc w:val="left"/>
        <w:rPr>
          <w:rFonts w:hint="eastAsia" w:ascii="仿宋" w:hAnsi="仿宋" w:eastAsia="仿宋" w:cs="仿宋"/>
          <w:sz w:val="30"/>
          <w:szCs w:val="30"/>
        </w:rPr>
      </w:pPr>
      <w:r>
        <w:rPr>
          <w:rFonts w:hint="eastAsia" w:ascii="仿宋" w:hAnsi="仿宋" w:eastAsia="仿宋" w:cs="仿宋"/>
          <w:sz w:val="30"/>
          <w:szCs w:val="30"/>
        </w:rPr>
        <w:t>（三）事业单位经营收入：指事业单位在专业业务活动及辅助活动之外开展非独立核算经营活动取得的收入。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（四）上年结转和结余：填列2018年全部结转和结余的资金数，包括当年结转结余资金和历年滚存结转结余资金。</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五</w:t>
      </w:r>
      <w:r>
        <w:rPr>
          <w:rFonts w:hint="eastAsia" w:ascii="仿宋" w:hAnsi="仿宋" w:eastAsia="仿宋" w:cs="仿宋"/>
          <w:sz w:val="30"/>
          <w:szCs w:val="30"/>
        </w:rPr>
        <w:t>）上级补助收入：反映事业单位从主管部门和上级单位取得的非财政补助收入。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六</w:t>
      </w:r>
      <w:r>
        <w:rPr>
          <w:rFonts w:hint="eastAsia" w:ascii="仿宋" w:hAnsi="仿宋" w:eastAsia="仿宋" w:cs="仿宋"/>
          <w:sz w:val="30"/>
          <w:szCs w:val="30"/>
        </w:rPr>
        <w:t>）其他收入：指除财政拨款、事业收入、事业单位经营收入等以外的各项收入。</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二、支出科目</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（一）行政运行：反映行政单位（事业单位）的基本支出。</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（二）一般行政管理事务：反映行政单位（包括事业单位）未单独设置项级科目的其他项目支出。</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（三）机关事业单位基本养老保险缴费支出：反映机关事业单位实施养老保险制度由单位缴纳的基本养老保险费的支出。</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（四）行政单位医疗：反映行政事业单位基本医疗保险缴费经费。</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（五）事业单位医疗：反映财政部门集中安排的事业单位基本医疗保险缴费经费。</w:t>
      </w:r>
    </w:p>
    <w:p>
      <w:pPr>
        <w:widowControl/>
        <w:spacing w:line="580" w:lineRule="exact"/>
        <w:ind w:firstLine="640"/>
        <w:jc w:val="left"/>
        <w:rPr>
          <w:rFonts w:hint="eastAsia" w:ascii="仿宋" w:hAnsi="仿宋" w:eastAsia="仿宋" w:cs="仿宋"/>
          <w:sz w:val="30"/>
          <w:szCs w:val="30"/>
        </w:rPr>
      </w:pPr>
      <w:r>
        <w:rPr>
          <w:rFonts w:hint="eastAsia" w:ascii="仿宋" w:hAnsi="仿宋" w:eastAsia="仿宋" w:cs="仿宋"/>
          <w:sz w:val="30"/>
          <w:szCs w:val="30"/>
        </w:rPr>
        <w:t>（六）死亡抚恤：反映单位遗属人员生活补助。</w:t>
      </w:r>
    </w:p>
    <w:p>
      <w:pPr>
        <w:spacing w:line="560" w:lineRule="exact"/>
        <w:ind w:right="-210" w:rightChars="-100" w:firstLine="643" w:firstLineChars="200"/>
        <w:jc w:val="left"/>
        <w:rPr>
          <w:rFonts w:hint="eastAsia" w:ascii="仿宋" w:hAnsi="仿宋" w:eastAsia="仿宋" w:cs="仿宋"/>
          <w:sz w:val="30"/>
          <w:szCs w:val="30"/>
        </w:rPr>
      </w:pPr>
      <w:r>
        <w:rPr>
          <w:rFonts w:hint="eastAsia" w:ascii="仿宋" w:hAnsi="仿宋" w:eastAsia="仿宋" w:cs="仿宋"/>
          <w:b/>
          <w:bCs/>
          <w:color w:val="000000" w:themeColor="text1"/>
          <w:sz w:val="32"/>
          <w:szCs w:val="32"/>
        </w:rPr>
        <w:t xml:space="preserve">                         </w:t>
      </w:r>
      <w:r>
        <w:rPr>
          <w:rFonts w:hint="eastAsia" w:ascii="仿宋" w:hAnsi="仿宋" w:eastAsia="仿宋" w:cs="仿宋"/>
          <w:sz w:val="30"/>
          <w:szCs w:val="30"/>
        </w:rPr>
        <w:t xml:space="preserve"> </w:t>
      </w:r>
    </w:p>
    <w:p>
      <w:pPr>
        <w:ind w:right="-210" w:rightChars="-100"/>
        <w:jc w:val="lef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58BA92"/>
    <w:multiLevelType w:val="singleLevel"/>
    <w:tmpl w:val="D558BA92"/>
    <w:lvl w:ilvl="0" w:tentative="0">
      <w:start w:val="9"/>
      <w:numFmt w:val="chineseCounting"/>
      <w:suff w:val="nothing"/>
      <w:lvlText w:val="%1、"/>
      <w:lvlJc w:val="left"/>
      <w:pPr>
        <w:ind w:left="-430"/>
      </w:pPr>
      <w:rPr>
        <w:rFonts w:hint="eastAsia"/>
      </w:rPr>
    </w:lvl>
  </w:abstractNum>
  <w:abstractNum w:abstractNumId="1">
    <w:nsid w:val="00000005"/>
    <w:multiLevelType w:val="singleLevel"/>
    <w:tmpl w:val="00000005"/>
    <w:lvl w:ilvl="0" w:tentative="0">
      <w:start w:val="2"/>
      <w:numFmt w:val="chineseCounting"/>
      <w:suff w:val="nothing"/>
      <w:lvlText w:val="（%1）"/>
      <w:lvlJc w:val="left"/>
    </w:lvl>
  </w:abstractNum>
  <w:abstractNum w:abstractNumId="2">
    <w:nsid w:val="21B5634C"/>
    <w:multiLevelType w:val="multilevel"/>
    <w:tmpl w:val="21B5634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F06B35"/>
    <w:multiLevelType w:val="singleLevel"/>
    <w:tmpl w:val="25F06B35"/>
    <w:lvl w:ilvl="0" w:tentative="0">
      <w:start w:val="8"/>
      <w:numFmt w:val="chineseCounting"/>
      <w:lvlText w:val="(%1)"/>
      <w:lvlJc w:val="left"/>
      <w:pPr>
        <w:tabs>
          <w:tab w:val="left" w:pos="312"/>
        </w:tabs>
      </w:pPr>
      <w:rPr>
        <w:rFonts w:hint="eastAsia"/>
      </w:rPr>
    </w:lvl>
  </w:abstractNum>
  <w:abstractNum w:abstractNumId="4">
    <w:nsid w:val="6E97D1C4"/>
    <w:multiLevelType w:val="singleLevel"/>
    <w:tmpl w:val="6E97D1C4"/>
    <w:lvl w:ilvl="0" w:tentative="0">
      <w:start w:val="2"/>
      <w:numFmt w:val="chineseCounting"/>
      <w:suff w:val="space"/>
      <w:lvlText w:val="第%1部分"/>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I2NTkxZTdiZjU2YWYwNDg3NzUzMTg0YzA2ODc2YzQifQ=="/>
  </w:docVars>
  <w:rsids>
    <w:rsidRoot w:val="00E01ED9"/>
    <w:rsid w:val="00041456"/>
    <w:rsid w:val="000817ED"/>
    <w:rsid w:val="000E6424"/>
    <w:rsid w:val="00120C15"/>
    <w:rsid w:val="00166F7C"/>
    <w:rsid w:val="001A0FA0"/>
    <w:rsid w:val="001E44D5"/>
    <w:rsid w:val="002231DD"/>
    <w:rsid w:val="0025612C"/>
    <w:rsid w:val="002970C2"/>
    <w:rsid w:val="00366871"/>
    <w:rsid w:val="00377A56"/>
    <w:rsid w:val="003A13E6"/>
    <w:rsid w:val="00422A9E"/>
    <w:rsid w:val="00463756"/>
    <w:rsid w:val="00472BC6"/>
    <w:rsid w:val="004A0192"/>
    <w:rsid w:val="004A1C8D"/>
    <w:rsid w:val="004A47FA"/>
    <w:rsid w:val="00506336"/>
    <w:rsid w:val="00546B70"/>
    <w:rsid w:val="00556775"/>
    <w:rsid w:val="00570EEF"/>
    <w:rsid w:val="006101FC"/>
    <w:rsid w:val="00662FA5"/>
    <w:rsid w:val="006A2F16"/>
    <w:rsid w:val="0072141F"/>
    <w:rsid w:val="00754C75"/>
    <w:rsid w:val="00892092"/>
    <w:rsid w:val="008F17BA"/>
    <w:rsid w:val="008F7C6E"/>
    <w:rsid w:val="00903D6D"/>
    <w:rsid w:val="009465B5"/>
    <w:rsid w:val="0097134C"/>
    <w:rsid w:val="0097386E"/>
    <w:rsid w:val="0098153A"/>
    <w:rsid w:val="009D6A22"/>
    <w:rsid w:val="009E655D"/>
    <w:rsid w:val="00A06EC0"/>
    <w:rsid w:val="00A2343D"/>
    <w:rsid w:val="00A83A54"/>
    <w:rsid w:val="00B279FD"/>
    <w:rsid w:val="00C04887"/>
    <w:rsid w:val="00C66B9B"/>
    <w:rsid w:val="00CA4DBE"/>
    <w:rsid w:val="00CC1B87"/>
    <w:rsid w:val="00CC4A7D"/>
    <w:rsid w:val="00D02B37"/>
    <w:rsid w:val="00D0533F"/>
    <w:rsid w:val="00E01ED9"/>
    <w:rsid w:val="00E33CCB"/>
    <w:rsid w:val="00E53662"/>
    <w:rsid w:val="00E7133B"/>
    <w:rsid w:val="00E86174"/>
    <w:rsid w:val="00E9366F"/>
    <w:rsid w:val="00EB4324"/>
    <w:rsid w:val="00EC0EFA"/>
    <w:rsid w:val="00F25D4D"/>
    <w:rsid w:val="00F55D0A"/>
    <w:rsid w:val="00F5712D"/>
    <w:rsid w:val="00FC55C2"/>
    <w:rsid w:val="0A10624E"/>
    <w:rsid w:val="10BE44D6"/>
    <w:rsid w:val="2557029F"/>
    <w:rsid w:val="312C4FEA"/>
    <w:rsid w:val="66784C72"/>
    <w:rsid w:val="6F4A1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3009</Words>
  <Characters>3359</Characters>
  <Lines>22</Lines>
  <Paragraphs>6</Paragraphs>
  <TotalTime>0</TotalTime>
  <ScaleCrop>false</ScaleCrop>
  <LinksUpToDate>false</LinksUpToDate>
  <CharactersWithSpaces>3415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2020-12-03T02:25:00Z</dcterms:created>
  <dc:creator>cw1</dc:creator>
  <cp:lastModifiedBy>cw1</cp:lastModifiedBy>
  <dcterms:modified xsi:type="dcterms:W3CDTF">2022-09-13T04:13:48Z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4A3575F63D9B46C19317DCC0A3DAFA6D</vt:lpwstr>
  </property>
</Properties>
</file>