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3" w:lineRule="auto"/>
        <w:ind w:left="210"/>
        <w:jc w:val="center"/>
        <w:outlineLvl w:val="0"/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9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兴国</w:t>
      </w:r>
      <w:r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县直达资金使用情况公开（</w:t>
      </w:r>
      <w:r>
        <w:rPr>
          <w:rFonts w:hint="eastAsia" w:ascii="宋体" w:hAnsi="宋体" w:eastAsia="宋体" w:cs="宋体"/>
          <w:spacing w:val="9"/>
          <w:sz w:val="43"/>
          <w:szCs w:val="43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季度）</w:t>
      </w:r>
    </w:p>
    <w:p>
      <w:pPr>
        <w:spacing w:before="101" w:line="223" w:lineRule="auto"/>
        <w:ind w:left="210"/>
        <w:jc w:val="center"/>
        <w:outlineLvl w:val="0"/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72" w:lineRule="auto"/>
        <w:ind w:right="91" w:firstLine="648" w:firstLineChars="200"/>
        <w:jc w:val="both"/>
        <w:textAlignment w:val="baseline"/>
      </w:pPr>
      <w:r>
        <w:rPr>
          <w:spacing w:val="7"/>
        </w:rPr>
        <w:t>为贯彻落实中央、省、市财政部门关于直达资金使用管理工作有关要求，现将我县202</w:t>
      </w:r>
      <w:r>
        <w:rPr>
          <w:rFonts w:hint="eastAsia"/>
          <w:spacing w:val="7"/>
          <w:lang w:val="en-US" w:eastAsia="zh-CN"/>
        </w:rPr>
        <w:t>4</w:t>
      </w:r>
      <w:r>
        <w:rPr>
          <w:spacing w:val="7"/>
        </w:rPr>
        <w:t>年</w:t>
      </w:r>
      <w:r>
        <w:rPr>
          <w:rFonts w:hint="eastAsia"/>
          <w:spacing w:val="7"/>
          <w:lang w:val="en-US" w:eastAsia="zh-CN"/>
        </w:rPr>
        <w:t>四</w:t>
      </w:r>
      <w:r>
        <w:rPr>
          <w:spacing w:val="7"/>
        </w:rPr>
        <w:t>季度</w:t>
      </w:r>
      <w:r>
        <w:rPr>
          <w:spacing w:val="6"/>
        </w:rPr>
        <w:t>直达资金使用管</w:t>
      </w:r>
      <w:r>
        <w:rPr>
          <w:spacing w:val="5"/>
        </w:rPr>
        <w:t>理情况公开如下：</w:t>
      </w:r>
    </w:p>
    <w:p>
      <w:pPr>
        <w:pStyle w:val="2"/>
        <w:spacing w:before="241" w:line="228" w:lineRule="auto"/>
        <w:ind w:left="685"/>
      </w:pPr>
      <w:r>
        <w:rPr>
          <w:spacing w:val="4"/>
        </w:rPr>
        <w:t>一.指标情况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372" w:lineRule="auto"/>
        <w:ind w:right="85" w:firstLine="636" w:firstLineChars="200"/>
        <w:jc w:val="both"/>
        <w:textAlignment w:val="baseline"/>
        <w:rPr>
          <w:rFonts w:hint="default" w:eastAsia="仿宋"/>
          <w:spacing w:val="4"/>
          <w:lang w:val="en-US" w:eastAsia="zh-CN"/>
        </w:rPr>
      </w:pPr>
      <w:r>
        <w:rPr>
          <w:spacing w:val="4"/>
        </w:rPr>
        <w:t>截止202</w:t>
      </w:r>
      <w:r>
        <w:rPr>
          <w:rFonts w:hint="eastAsia"/>
          <w:spacing w:val="4"/>
          <w:lang w:val="en-US" w:eastAsia="zh-CN"/>
        </w:rPr>
        <w:t>4</w:t>
      </w:r>
      <w:r>
        <w:rPr>
          <w:spacing w:val="4"/>
        </w:rPr>
        <w:t>年</w:t>
      </w:r>
      <w:r>
        <w:rPr>
          <w:rFonts w:hint="eastAsia"/>
          <w:spacing w:val="7"/>
          <w:lang w:val="en-US" w:eastAsia="zh-CN"/>
        </w:rPr>
        <w:t>四</w:t>
      </w:r>
      <w:r>
        <w:rPr>
          <w:spacing w:val="4"/>
        </w:rPr>
        <w:t>季度，</w:t>
      </w:r>
      <w:r>
        <w:rPr>
          <w:rFonts w:hint="eastAsia"/>
          <w:spacing w:val="4"/>
        </w:rPr>
        <w:t>收到直达资金指标348872.07元（其中上级转移支付直达资金343916.85万元，本级配套直达资金4955.22万元），其中：共同财政事权转移支付185438.78万元，新增国债资金85032.29万元，一般性转移支付77486万元，专项转移支付915万元。</w:t>
      </w:r>
    </w:p>
    <w:p>
      <w:pPr>
        <w:pStyle w:val="2"/>
        <w:spacing w:before="238" w:line="228" w:lineRule="auto"/>
        <w:ind w:left="690"/>
        <w:rPr>
          <w:highlight w:val="none"/>
        </w:rPr>
      </w:pPr>
      <w:r>
        <w:rPr>
          <w:spacing w:val="3"/>
          <w:highlight w:val="none"/>
        </w:rPr>
        <w:t>二.支出情况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624" w:lineRule="exact"/>
        <w:ind w:firstLine="636" w:firstLineChars="200"/>
        <w:jc w:val="both"/>
        <w:textAlignment w:val="baseline"/>
        <w:rPr>
          <w:rFonts w:hint="eastAsia" w:eastAsia="仿宋"/>
          <w:lang w:val="en-US" w:eastAsia="zh-CN"/>
        </w:rPr>
      </w:pPr>
      <w:r>
        <w:rPr>
          <w:spacing w:val="4"/>
        </w:rPr>
        <w:t>截止202</w:t>
      </w:r>
      <w:r>
        <w:rPr>
          <w:rFonts w:hint="eastAsia"/>
          <w:spacing w:val="4"/>
          <w:lang w:val="en-US" w:eastAsia="zh-CN"/>
        </w:rPr>
        <w:t>4</w:t>
      </w:r>
      <w:r>
        <w:rPr>
          <w:spacing w:val="4"/>
        </w:rPr>
        <w:t>年</w:t>
      </w:r>
      <w:r>
        <w:rPr>
          <w:rFonts w:hint="eastAsia"/>
          <w:spacing w:val="4"/>
          <w:lang w:eastAsia="zh-CN"/>
        </w:rPr>
        <w:t>四</w:t>
      </w:r>
      <w:r>
        <w:rPr>
          <w:spacing w:val="4"/>
        </w:rPr>
        <w:t>季度，支出直达资金</w:t>
      </w:r>
      <w:r>
        <w:rPr>
          <w:rFonts w:hint="eastAsia"/>
          <w:spacing w:val="4"/>
        </w:rPr>
        <w:t>316666.27</w:t>
      </w:r>
      <w:r>
        <w:rPr>
          <w:spacing w:val="4"/>
        </w:rPr>
        <w:t>万元（其</w:t>
      </w:r>
      <w:r>
        <w:rPr>
          <w:spacing w:val="1"/>
        </w:rPr>
        <w:t>中上级转移支付直达资金支出</w:t>
      </w:r>
      <w:r>
        <w:rPr>
          <w:rFonts w:hint="eastAsia"/>
          <w:spacing w:val="4"/>
        </w:rPr>
        <w:t>311721.1</w:t>
      </w:r>
      <w:r>
        <w:t>万元，支付率</w:t>
      </w:r>
      <w:r>
        <w:rPr>
          <w:rFonts w:hint="eastAsia"/>
          <w:lang w:val="en-US" w:eastAsia="zh-CN"/>
        </w:rPr>
        <w:t>90.64%</w:t>
      </w:r>
      <w:r>
        <w:t>；</w:t>
      </w:r>
      <w:r>
        <w:rPr>
          <w:spacing w:val="4"/>
        </w:rPr>
        <w:t>本级配套直达资金支出</w:t>
      </w:r>
      <w:r>
        <w:rPr>
          <w:rFonts w:hint="eastAsia"/>
          <w:spacing w:val="4"/>
          <w:lang w:val="en-US" w:eastAsia="zh-CN"/>
        </w:rPr>
        <w:t>4945.17</w:t>
      </w:r>
      <w:r>
        <w:rPr>
          <w:spacing w:val="4"/>
        </w:rPr>
        <w:t>万元，支付率</w:t>
      </w:r>
      <w:r>
        <w:rPr>
          <w:rFonts w:hint="eastAsia"/>
          <w:spacing w:val="4"/>
          <w:lang w:val="en-US" w:eastAsia="zh-CN"/>
        </w:rPr>
        <w:t>99.8%</w:t>
      </w:r>
      <w:r>
        <w:rPr>
          <w:spacing w:val="20"/>
        </w:rPr>
        <w:t>），</w:t>
      </w:r>
      <w:r>
        <w:rPr>
          <w:spacing w:val="3"/>
          <w:highlight w:val="none"/>
        </w:rPr>
        <w:t>支付</w:t>
      </w:r>
      <w:r>
        <w:rPr>
          <w:spacing w:val="6"/>
          <w:highlight w:val="none"/>
        </w:rPr>
        <w:t>率</w:t>
      </w:r>
      <w:r>
        <w:rPr>
          <w:rFonts w:hint="eastAsia"/>
          <w:spacing w:val="6"/>
          <w:highlight w:val="none"/>
          <w:lang w:val="en-US" w:eastAsia="zh-CN"/>
        </w:rPr>
        <w:t>90.77%</w:t>
      </w:r>
      <w:r>
        <w:rPr>
          <w:spacing w:val="6"/>
        </w:rPr>
        <w:t>，其中：共同财政事权转移支付支出</w:t>
      </w:r>
      <w:r>
        <w:rPr>
          <w:rFonts w:hint="eastAsia"/>
          <w:color w:val="auto"/>
          <w:spacing w:val="6"/>
          <w:highlight w:val="none"/>
        </w:rPr>
        <w:t>154981.42</w:t>
      </w:r>
      <w:r>
        <w:rPr>
          <w:color w:val="auto"/>
          <w:spacing w:val="6"/>
          <w:highlight w:val="none"/>
        </w:rPr>
        <w:t>万元</w:t>
      </w:r>
      <w:r>
        <w:rPr>
          <w:spacing w:val="6"/>
        </w:rPr>
        <w:t>，支付率</w:t>
      </w:r>
      <w:r>
        <w:rPr>
          <w:rFonts w:hint="eastAsia"/>
          <w:spacing w:val="6"/>
          <w:lang w:val="en-US" w:eastAsia="zh-CN"/>
        </w:rPr>
        <w:t>83.58%</w:t>
      </w:r>
      <w:r>
        <w:rPr>
          <w:spacing w:val="6"/>
        </w:rPr>
        <w:t>；</w:t>
      </w:r>
      <w:r>
        <w:rPr>
          <w:rFonts w:hint="eastAsia"/>
          <w:spacing w:val="8"/>
        </w:rPr>
        <w:t>新增国债资金</w:t>
      </w:r>
      <w:r>
        <w:rPr>
          <w:spacing w:val="7"/>
        </w:rPr>
        <w:t>支</w:t>
      </w:r>
      <w:r>
        <w:rPr>
          <w:spacing w:val="-7"/>
        </w:rPr>
        <w:t>出</w:t>
      </w:r>
      <w:r>
        <w:rPr>
          <w:rFonts w:hint="eastAsia"/>
          <w:spacing w:val="-7"/>
          <w:lang w:val="en-US" w:eastAsia="zh-CN"/>
        </w:rPr>
        <w:t>83713.53</w:t>
      </w:r>
      <w:r>
        <w:rPr>
          <w:spacing w:val="-7"/>
        </w:rPr>
        <w:t>万元，支付率</w:t>
      </w:r>
      <w:r>
        <w:rPr>
          <w:rFonts w:hint="eastAsia"/>
          <w:spacing w:val="-7"/>
          <w:lang w:val="en-US" w:eastAsia="zh-CN"/>
        </w:rPr>
        <w:t>98.45%</w:t>
      </w:r>
      <w:r>
        <w:rPr>
          <w:spacing w:val="-7"/>
        </w:rPr>
        <w:t>；</w:t>
      </w:r>
      <w:r>
        <w:rPr>
          <w:spacing w:val="6"/>
        </w:rPr>
        <w:t>一</w:t>
      </w:r>
      <w:r>
        <w:rPr>
          <w:spacing w:val="6"/>
          <w:highlight w:val="none"/>
        </w:rPr>
        <w:t>般性转移支付支出</w:t>
      </w:r>
      <w:r>
        <w:rPr>
          <w:rFonts w:hint="eastAsia"/>
          <w:spacing w:val="6"/>
        </w:rPr>
        <w:t>77056.32</w:t>
      </w:r>
      <w:r>
        <w:rPr>
          <w:spacing w:val="5"/>
        </w:rPr>
        <w:t>万元，支付率</w:t>
      </w:r>
      <w:r>
        <w:rPr>
          <w:rFonts w:hint="eastAsia"/>
          <w:spacing w:val="5"/>
          <w:lang w:val="en-US" w:eastAsia="zh-CN"/>
        </w:rPr>
        <w:t>99.45</w:t>
      </w:r>
      <w:r>
        <w:rPr>
          <w:rFonts w:hint="eastAsia"/>
          <w:spacing w:val="8"/>
        </w:rPr>
        <w:t>%</w:t>
      </w:r>
      <w:r>
        <w:rPr>
          <w:spacing w:val="8"/>
        </w:rPr>
        <w:t>；</w:t>
      </w:r>
      <w:r>
        <w:rPr>
          <w:spacing w:val="-7"/>
        </w:rPr>
        <w:t>专项转移支付支出</w:t>
      </w:r>
      <w:r>
        <w:rPr>
          <w:rFonts w:hint="eastAsia"/>
          <w:spacing w:val="-7"/>
          <w:lang w:val="en-US" w:eastAsia="zh-CN"/>
        </w:rPr>
        <w:t>915</w:t>
      </w:r>
      <w:r>
        <w:rPr>
          <w:spacing w:val="-7"/>
        </w:rPr>
        <w:t>万元，</w:t>
      </w:r>
      <w:r>
        <w:rPr>
          <w:spacing w:val="-1"/>
        </w:rPr>
        <w:t>支付率</w:t>
      </w:r>
      <w:r>
        <w:rPr>
          <w:rFonts w:hint="eastAsia"/>
          <w:spacing w:val="-1"/>
          <w:lang w:val="en-US" w:eastAsia="zh-CN"/>
        </w:rPr>
        <w:t>100</w:t>
      </w:r>
      <w:r>
        <w:rPr>
          <w:rFonts w:hint="eastAsia"/>
          <w:spacing w:val="-1"/>
        </w:rPr>
        <w:t>%</w:t>
      </w:r>
      <w:r>
        <w:rPr>
          <w:rFonts w:hint="eastAsia"/>
          <w:spacing w:val="-1"/>
          <w:lang w:eastAsia="zh-CN"/>
        </w:rPr>
        <w:t>。</w:t>
      </w:r>
    </w:p>
    <w:sectPr>
      <w:pgSz w:w="11906" w:h="16839"/>
      <w:pgMar w:top="1431" w:right="171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c2YWY2M2QzMmI1MTc5NTY4ODljMTUzZTcxNjdlNDgifQ=="/>
  </w:docVars>
  <w:rsids>
    <w:rsidRoot w:val="00000000"/>
    <w:rsid w:val="058C7E64"/>
    <w:rsid w:val="0A607A2A"/>
    <w:rsid w:val="15DE21ED"/>
    <w:rsid w:val="1FC42D34"/>
    <w:rsid w:val="200563F1"/>
    <w:rsid w:val="25FB9D06"/>
    <w:rsid w:val="2CF33A75"/>
    <w:rsid w:val="30A907B6"/>
    <w:rsid w:val="33E539F6"/>
    <w:rsid w:val="34C7763D"/>
    <w:rsid w:val="375A4E1C"/>
    <w:rsid w:val="393B0C7E"/>
    <w:rsid w:val="39D32C64"/>
    <w:rsid w:val="3B2A537F"/>
    <w:rsid w:val="3B67B028"/>
    <w:rsid w:val="3FFCCD7B"/>
    <w:rsid w:val="410B53D9"/>
    <w:rsid w:val="423A6CA8"/>
    <w:rsid w:val="49BD4152"/>
    <w:rsid w:val="4F400944"/>
    <w:rsid w:val="61EB4B4A"/>
    <w:rsid w:val="6B80414A"/>
    <w:rsid w:val="708E2E66"/>
    <w:rsid w:val="70CB230C"/>
    <w:rsid w:val="75EF43A6"/>
    <w:rsid w:val="77D690C7"/>
    <w:rsid w:val="7E8D0C00"/>
    <w:rsid w:val="7FF802FC"/>
    <w:rsid w:val="C39F5CB4"/>
    <w:rsid w:val="F7ED6108"/>
    <w:rsid w:val="FB7F5C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325</Words>
  <Characters>424</Characters>
  <TotalTime>81</TotalTime>
  <ScaleCrop>false</ScaleCrop>
  <LinksUpToDate>false</LinksUpToDate>
  <CharactersWithSpaces>424</CharactersWithSpaces>
  <Application>WPS Office_11.8.2.10505_F1E327BC-269C-435d-A152-05C5408002CA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2023-02-14T18:56:00Z</dcterms:created>
  <dc:creator>DELL</dc:creator>
  <cp:lastModifiedBy>bgs</cp:lastModifiedBy>
  <dcterms:modified xsi:type="dcterms:W3CDTF">2025-01-20T15:48:15Z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2023-09-18T11:03:04Z</vt:filetime>
  </property>
  <property fmtid="{D5CDD505-2E9C-101B-9397-08002B2CF9AE}" pid="4" name="KSOProductBuildVer">
    <vt:lpwstr>2052-11.8.2.10505</vt:lpwstr>
  </property>
  <property fmtid="{D5CDD505-2E9C-101B-9397-08002B2CF9AE}" pid="5" name="ICV">
    <vt:lpwstr>1C204D2BAB2F41A8822185DB8FA77005_13</vt:lpwstr>
  </property>
</Properties>
</file>